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0E429" w14:textId="77777777" w:rsidR="00DE0BE2" w:rsidRPr="0069749D" w:rsidRDefault="00DE0BE2" w:rsidP="00DE0BE2">
      <w:pPr>
        <w:spacing w:after="0" w:line="240" w:lineRule="auto"/>
        <w:jc w:val="both"/>
        <w:rPr>
          <w:rFonts w:ascii="Times New Roman" w:eastAsia="Calibri" w:hAnsi="Times New Roman" w:cs="Times New Roman"/>
          <w:sz w:val="24"/>
          <w:szCs w:val="24"/>
          <w:lang w:val="en-US"/>
        </w:rPr>
      </w:pPr>
    </w:p>
    <w:p w14:paraId="1DC49488" w14:textId="79847B00" w:rsidR="00DE0BE2" w:rsidRPr="00AF6233" w:rsidRDefault="007A5FF7" w:rsidP="009A6B4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KRIPTOGRAFINIŲ RAKTŲ </w:t>
      </w:r>
      <w:r w:rsidR="00CC0B2E">
        <w:rPr>
          <w:rFonts w:ascii="Times New Roman" w:eastAsia="Calibri" w:hAnsi="Times New Roman" w:cs="Times New Roman"/>
          <w:b/>
          <w:sz w:val="24"/>
          <w:szCs w:val="24"/>
        </w:rPr>
        <w:t>GENERAVIMO</w:t>
      </w:r>
      <w:r>
        <w:rPr>
          <w:rFonts w:ascii="Times New Roman" w:eastAsia="Calibri" w:hAnsi="Times New Roman" w:cs="Times New Roman"/>
          <w:b/>
          <w:sz w:val="24"/>
          <w:szCs w:val="24"/>
        </w:rPr>
        <w:t xml:space="preserve"> ĮRENGINIO</w:t>
      </w:r>
      <w:r w:rsidR="0077142A">
        <w:rPr>
          <w:rFonts w:ascii="Times New Roman" w:eastAsia="Calibri" w:hAnsi="Times New Roman" w:cs="Times New Roman"/>
          <w:b/>
          <w:sz w:val="24"/>
          <w:szCs w:val="24"/>
        </w:rPr>
        <w:t xml:space="preserve"> </w:t>
      </w:r>
      <w:r w:rsidR="00DE0BE2" w:rsidRPr="00AF6233">
        <w:rPr>
          <w:rFonts w:ascii="Times New Roman" w:eastAsia="Calibri" w:hAnsi="Times New Roman" w:cs="Times New Roman"/>
          <w:b/>
          <w:sz w:val="24"/>
          <w:szCs w:val="24"/>
        </w:rPr>
        <w:t>TECHNINĖ SPECIFIKACIJA</w:t>
      </w:r>
    </w:p>
    <w:p w14:paraId="1982EF37" w14:textId="77777777" w:rsidR="00DE0BE2" w:rsidRPr="00AF6233" w:rsidRDefault="00DE0BE2" w:rsidP="00DE0BE2">
      <w:pPr>
        <w:spacing w:after="0" w:line="240" w:lineRule="auto"/>
        <w:rPr>
          <w:rFonts w:ascii="Times New Roman" w:eastAsia="Calibri" w:hAnsi="Times New Roman" w:cs="Times New Roman"/>
          <w:sz w:val="24"/>
          <w:szCs w:val="24"/>
        </w:rPr>
      </w:pPr>
    </w:p>
    <w:p w14:paraId="40476470" w14:textId="77777777" w:rsidR="00E26FBA" w:rsidRPr="00707FD7" w:rsidRDefault="00E26FBA">
      <w:pPr>
        <w:rPr>
          <w:rFonts w:ascii="Times New Roman" w:hAnsi="Times New Roman" w:cs="Times New Roman"/>
          <w:sz w:val="24"/>
          <w:szCs w:val="24"/>
          <w:lang w:val="en-US"/>
        </w:rPr>
      </w:pPr>
    </w:p>
    <w:tbl>
      <w:tblPr>
        <w:tblStyle w:val="TableGrid"/>
        <w:tblW w:w="14170" w:type="dxa"/>
        <w:tblLayout w:type="fixed"/>
        <w:tblLook w:val="04A0" w:firstRow="1" w:lastRow="0" w:firstColumn="1" w:lastColumn="0" w:noHBand="0" w:noVBand="1"/>
      </w:tblPr>
      <w:tblGrid>
        <w:gridCol w:w="988"/>
        <w:gridCol w:w="13182"/>
      </w:tblGrid>
      <w:tr w:rsidR="00824470" w:rsidRPr="00AF6233" w14:paraId="05638459" w14:textId="77777777" w:rsidTr="009A6B4D">
        <w:trPr>
          <w:trHeight w:val="315"/>
        </w:trPr>
        <w:tc>
          <w:tcPr>
            <w:tcW w:w="988" w:type="dxa"/>
          </w:tcPr>
          <w:p w14:paraId="0DE5012B" w14:textId="77777777" w:rsidR="00824470" w:rsidRPr="00AF6233" w:rsidRDefault="00824470" w:rsidP="00824470">
            <w:pPr>
              <w:pStyle w:val="ListParagraph"/>
              <w:numPr>
                <w:ilvl w:val="0"/>
                <w:numId w:val="6"/>
              </w:numPr>
              <w:spacing w:after="0" w:line="240" w:lineRule="auto"/>
              <w:rPr>
                <w:rFonts w:ascii="Times New Roman" w:eastAsia="Calibri" w:hAnsi="Times New Roman" w:cs="Times New Roman"/>
                <w:b/>
                <w:sz w:val="24"/>
                <w:szCs w:val="24"/>
              </w:rPr>
            </w:pPr>
          </w:p>
        </w:tc>
        <w:tc>
          <w:tcPr>
            <w:tcW w:w="13182" w:type="dxa"/>
            <w:hideMark/>
          </w:tcPr>
          <w:p w14:paraId="256A985A" w14:textId="77777777" w:rsidR="00824470" w:rsidRPr="00AF6233" w:rsidRDefault="00824470" w:rsidP="00824470">
            <w:pPr>
              <w:spacing w:after="0" w:line="240" w:lineRule="auto"/>
              <w:jc w:val="both"/>
              <w:rPr>
                <w:rFonts w:ascii="Times New Roman" w:hAnsi="Times New Roman" w:cs="Times New Roman"/>
                <w:b/>
                <w:sz w:val="24"/>
                <w:szCs w:val="24"/>
              </w:rPr>
            </w:pPr>
            <w:r w:rsidRPr="00AF6233">
              <w:rPr>
                <w:rFonts w:ascii="Times New Roman" w:hAnsi="Times New Roman" w:cs="Times New Roman"/>
                <w:b/>
                <w:sz w:val="24"/>
                <w:szCs w:val="24"/>
              </w:rPr>
              <w:t>Bendrieji reikalavimai:</w:t>
            </w:r>
          </w:p>
        </w:tc>
      </w:tr>
      <w:tr w:rsidR="00824470" w:rsidRPr="00AF6233" w14:paraId="5EDA70B3" w14:textId="77777777" w:rsidTr="009A6B4D">
        <w:trPr>
          <w:trHeight w:val="315"/>
        </w:trPr>
        <w:tc>
          <w:tcPr>
            <w:tcW w:w="988" w:type="dxa"/>
          </w:tcPr>
          <w:p w14:paraId="55D90107"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hideMark/>
          </w:tcPr>
          <w:p w14:paraId="01095A50" w14:textId="77777777" w:rsidR="00824470" w:rsidRPr="00AF6233" w:rsidRDefault="00824470" w:rsidP="00824470">
            <w:pPr>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 xml:space="preserve">visa pateikiama techninė įranga privalo būti nauja (negali būti atnaujinta, restauruota (angl. </w:t>
            </w:r>
            <w:r w:rsidRPr="00AF6233">
              <w:rPr>
                <w:rFonts w:ascii="Times New Roman" w:hAnsi="Times New Roman" w:cs="Times New Roman"/>
                <w:i/>
                <w:sz w:val="24"/>
                <w:szCs w:val="24"/>
              </w:rPr>
              <w:t>refurbished</w:t>
            </w:r>
            <w:r w:rsidRPr="00AF6233">
              <w:rPr>
                <w:rFonts w:ascii="Times New Roman" w:hAnsi="Times New Roman" w:cs="Times New Roman"/>
                <w:sz w:val="24"/>
                <w:szCs w:val="24"/>
              </w:rPr>
              <w:t>), nenaudota, pateikta nepažeistoje gamyklinėje pakuotėje;</w:t>
            </w:r>
          </w:p>
        </w:tc>
      </w:tr>
      <w:tr w:rsidR="00824470" w:rsidRPr="00AF6233" w14:paraId="6E39FAE7" w14:textId="77777777" w:rsidTr="009A6B4D">
        <w:trPr>
          <w:trHeight w:val="315"/>
        </w:trPr>
        <w:tc>
          <w:tcPr>
            <w:tcW w:w="988" w:type="dxa"/>
          </w:tcPr>
          <w:p w14:paraId="7D22615C"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2AFE0607" w14:textId="77777777" w:rsidR="00824470" w:rsidRPr="00AF6233" w:rsidRDefault="00824470" w:rsidP="00824470">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 xml:space="preserve">tiekėjas turi užtikrinti, kad gamintojas nėra paskelbęs žinios apie siūlomos įrangos gamybos arba tobulinimo nutraukimą (pvz., angl. </w:t>
            </w:r>
            <w:r w:rsidRPr="00AF6233">
              <w:rPr>
                <w:rFonts w:ascii="Times New Roman" w:hAnsi="Times New Roman" w:cs="Times New Roman"/>
                <w:i/>
                <w:sz w:val="24"/>
                <w:szCs w:val="24"/>
              </w:rPr>
              <w:t>end of life time</w:t>
            </w:r>
            <w:r w:rsidRPr="00AF6233">
              <w:rPr>
                <w:rFonts w:ascii="Times New Roman" w:hAnsi="Times New Roman" w:cs="Times New Roman"/>
                <w:sz w:val="24"/>
                <w:szCs w:val="24"/>
              </w:rPr>
              <w:t xml:space="preserve"> ar </w:t>
            </w:r>
            <w:r w:rsidRPr="00AF6233">
              <w:rPr>
                <w:rFonts w:ascii="Times New Roman" w:hAnsi="Times New Roman" w:cs="Times New Roman"/>
                <w:i/>
                <w:sz w:val="24"/>
                <w:szCs w:val="24"/>
              </w:rPr>
              <w:t>Discontinued</w:t>
            </w:r>
            <w:r w:rsidRPr="00AF6233">
              <w:rPr>
                <w:rFonts w:ascii="Times New Roman" w:hAnsi="Times New Roman" w:cs="Times New Roman"/>
                <w:sz w:val="24"/>
                <w:szCs w:val="24"/>
              </w:rPr>
              <w:t xml:space="preserve">);   </w:t>
            </w:r>
          </w:p>
        </w:tc>
      </w:tr>
      <w:tr w:rsidR="00707FD7" w:rsidRPr="00AF6233" w14:paraId="03518D44" w14:textId="77777777" w:rsidTr="009A6B4D">
        <w:trPr>
          <w:trHeight w:val="315"/>
        </w:trPr>
        <w:tc>
          <w:tcPr>
            <w:tcW w:w="988" w:type="dxa"/>
          </w:tcPr>
          <w:p w14:paraId="1E0C48D6" w14:textId="77777777" w:rsidR="00707FD7" w:rsidRPr="00AF6233" w:rsidRDefault="00707FD7"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585300C6" w14:textId="05DE78BB" w:rsidR="00707FD7" w:rsidRPr="00AF6233" w:rsidRDefault="00707FD7" w:rsidP="00824470">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707FD7">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824470" w:rsidRPr="00AF6233" w14:paraId="60AD6C50" w14:textId="77777777" w:rsidTr="009A6B4D">
        <w:trPr>
          <w:trHeight w:val="315"/>
        </w:trPr>
        <w:tc>
          <w:tcPr>
            <w:tcW w:w="988" w:type="dxa"/>
          </w:tcPr>
          <w:p w14:paraId="415B713F"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C144524" w14:textId="77777777" w:rsidR="00824470" w:rsidRPr="00AF6233" w:rsidRDefault="00824470" w:rsidP="00824470">
            <w:pPr>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tiekėjas turi pateikti nuorodą į gamintojo puslapį, kuriame yra tiksli pasiūlymą atitinkančios techninės ar programinės įrangos techninė specifikacija;</w:t>
            </w:r>
          </w:p>
        </w:tc>
      </w:tr>
      <w:tr w:rsidR="00824470" w:rsidRPr="00AF6233" w14:paraId="05E366F5" w14:textId="77777777" w:rsidTr="009A6B4D">
        <w:trPr>
          <w:trHeight w:val="315"/>
        </w:trPr>
        <w:tc>
          <w:tcPr>
            <w:tcW w:w="988" w:type="dxa"/>
          </w:tcPr>
          <w:p w14:paraId="1A97538D"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3A6D15A0" w14:textId="77777777" w:rsidR="00824470" w:rsidRPr="00AF6233" w:rsidRDefault="00824470" w:rsidP="00824470">
            <w:pPr>
              <w:tabs>
                <w:tab w:val="left" w:pos="757"/>
              </w:tabs>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824470" w:rsidRPr="00AF6233" w14:paraId="39D5E6A8" w14:textId="77777777" w:rsidTr="009A6B4D">
        <w:trPr>
          <w:trHeight w:val="315"/>
        </w:trPr>
        <w:tc>
          <w:tcPr>
            <w:tcW w:w="988" w:type="dxa"/>
          </w:tcPr>
          <w:p w14:paraId="7FF17195"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C9F6440" w14:textId="6C48A7F6" w:rsidR="00824470" w:rsidRPr="00AF6233" w:rsidRDefault="00824470" w:rsidP="00824470">
            <w:pPr>
              <w:tabs>
                <w:tab w:val="left" w:pos="757"/>
              </w:tabs>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 xml:space="preserve">visos programinės įrangos licencija turi būti suteikiama neribotam laikui; </w:t>
            </w:r>
          </w:p>
        </w:tc>
      </w:tr>
      <w:tr w:rsidR="00824470" w:rsidRPr="00AF6233" w14:paraId="331BD1C8" w14:textId="77777777" w:rsidTr="009A6B4D">
        <w:trPr>
          <w:trHeight w:val="315"/>
        </w:trPr>
        <w:tc>
          <w:tcPr>
            <w:tcW w:w="988" w:type="dxa"/>
          </w:tcPr>
          <w:p w14:paraId="5DFE9B2A"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0B9375D3" w14:textId="68FA8D5E" w:rsidR="00824470" w:rsidRPr="00AF6233" w:rsidRDefault="00824470" w:rsidP="00824470">
            <w:pPr>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visos techninės įrangos maitinimo įtampa turi būti 230V 50Hz su Europos kontinentinėje dalyje naudojama jungtimi (CEE 7/7);</w:t>
            </w:r>
          </w:p>
        </w:tc>
      </w:tr>
      <w:tr w:rsidR="00824470" w:rsidRPr="00AF6233" w14:paraId="7651C777" w14:textId="77777777" w:rsidTr="009A6B4D">
        <w:trPr>
          <w:trHeight w:val="315"/>
        </w:trPr>
        <w:tc>
          <w:tcPr>
            <w:tcW w:w="988" w:type="dxa"/>
          </w:tcPr>
          <w:p w14:paraId="214ECF26"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76DB1FB" w14:textId="408E19EF" w:rsidR="007C7BBA" w:rsidRPr="007C7BBA" w:rsidRDefault="00AC772A" w:rsidP="00097583">
            <w:pPr>
              <w:tabs>
                <w:tab w:val="left" w:pos="390"/>
                <w:tab w:val="left" w:pos="1035"/>
                <w:tab w:val="left" w:pos="1500"/>
              </w:tabs>
              <w:spacing w:after="0" w:line="200" w:lineRule="atLeast"/>
              <w:jc w:val="both"/>
              <w:rPr>
                <w:rFonts w:ascii="Times New Roman" w:hAnsi="Times New Roman" w:cs="Times New Roman"/>
                <w:sz w:val="24"/>
                <w:szCs w:val="24"/>
                <w:lang w:val="en-US"/>
              </w:rPr>
            </w:pPr>
            <w:r w:rsidRPr="00AC772A">
              <w:rPr>
                <w:rFonts w:ascii="Times New Roman" w:hAnsi="Times New Roman" w:cs="Times New Roman"/>
                <w:sz w:val="24"/>
                <w:szCs w:val="24"/>
              </w:rPr>
              <w:t>Prekei taikomas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4C443E">
              <w:rPr>
                <w:rFonts w:ascii="Times New Roman" w:hAnsi="Times New Roman" w:cs="Times New Roman"/>
                <w:sz w:val="24"/>
                <w:szCs w:val="24"/>
              </w:rPr>
              <w:t xml:space="preserve"> </w:t>
            </w:r>
            <w:r w:rsidRPr="00AC772A">
              <w:rPr>
                <w:rFonts w:ascii="Times New Roman" w:hAnsi="Times New Roman" w:cs="Times New Roman"/>
                <w:sz w:val="24"/>
                <w:szCs w:val="24"/>
              </w:rPr>
              <w:t>reikalavimais</w:t>
            </w:r>
            <w:r w:rsidRPr="00707FD7">
              <w:rPr>
                <w:rFonts w:ascii="Times New Roman" w:hAnsi="Times New Roman" w:cs="Times New Roman"/>
                <w:sz w:val="24"/>
                <w:szCs w:val="24"/>
              </w:rPr>
              <w:t xml:space="preserve">. </w:t>
            </w:r>
            <w:r w:rsidR="007C7BBA" w:rsidRPr="0092443B">
              <w:rPr>
                <w:rFonts w:ascii="Times New Roman" w:hAnsi="Times New Roman" w:cs="Times New Roman"/>
                <w:sz w:val="24"/>
                <w:szCs w:val="24"/>
              </w:rPr>
              <w:t>4.4.4.3 punkto reikalavimais (reikalavimai nustatomi techninėje specifikacijoje) ir II skyriaus „Pakuotės“ reikalavimais (reikalavimai nustatomi sutarties sąlygose</w:t>
            </w:r>
            <w:r w:rsidR="007C7BBA" w:rsidRPr="00707FD7">
              <w:rPr>
                <w:rFonts w:ascii="Times New Roman" w:eastAsia="Calibri" w:hAnsi="Times New Roman" w:cs="Times New Roman"/>
                <w:szCs w:val="24"/>
              </w:rPr>
              <w:t>).</w:t>
            </w:r>
          </w:p>
        </w:tc>
      </w:tr>
      <w:tr w:rsidR="00384C53" w:rsidRPr="00AF6233" w14:paraId="65EF73CE" w14:textId="77777777" w:rsidTr="009A6B4D">
        <w:trPr>
          <w:trHeight w:val="315"/>
        </w:trPr>
        <w:tc>
          <w:tcPr>
            <w:tcW w:w="988" w:type="dxa"/>
          </w:tcPr>
          <w:p w14:paraId="639A7491" w14:textId="77777777" w:rsidR="00384C53" w:rsidRPr="00AF6233" w:rsidRDefault="00384C53" w:rsidP="00824470">
            <w:pPr>
              <w:pStyle w:val="ListParagraph"/>
              <w:numPr>
                <w:ilvl w:val="1"/>
                <w:numId w:val="6"/>
              </w:numPr>
              <w:spacing w:after="0" w:line="240" w:lineRule="auto"/>
              <w:jc w:val="both"/>
              <w:rPr>
                <w:rFonts w:ascii="Times New Roman" w:hAnsi="Times New Roman" w:cs="Times New Roman"/>
                <w:sz w:val="24"/>
                <w:szCs w:val="24"/>
              </w:rPr>
            </w:pPr>
          </w:p>
        </w:tc>
        <w:tc>
          <w:tcPr>
            <w:tcW w:w="13182" w:type="dxa"/>
          </w:tcPr>
          <w:p w14:paraId="3776DC55" w14:textId="66965004" w:rsidR="00384C53" w:rsidRPr="00AF6233" w:rsidRDefault="00384C53" w:rsidP="00384C53">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r w:rsidR="00C5607D">
              <w:t xml:space="preserve"> </w:t>
            </w:r>
            <w:r w:rsidR="00C5607D" w:rsidRPr="00C5607D">
              <w:rPr>
                <w:rFonts w:ascii="Times New Roman" w:hAnsi="Times New Roman" w:cs="Times New Roman"/>
                <w:sz w:val="24"/>
                <w:szCs w:val="24"/>
              </w:rPr>
              <w:t>įranga grąžinama tiekėjui arba keičiama nauja lygiaverte ar geresne, tačiau saugumo reikalavimus atitinkančia įranga;</w:t>
            </w:r>
          </w:p>
        </w:tc>
      </w:tr>
      <w:tr w:rsidR="00AF3EB3" w:rsidRPr="00AF6233" w14:paraId="473A2F70" w14:textId="77777777" w:rsidTr="009A6B4D">
        <w:trPr>
          <w:trHeight w:val="315"/>
        </w:trPr>
        <w:tc>
          <w:tcPr>
            <w:tcW w:w="988" w:type="dxa"/>
          </w:tcPr>
          <w:p w14:paraId="645B12B1" w14:textId="1B9A19D4"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7F399B">
              <w:rPr>
                <w:rFonts w:ascii="Times New Roman" w:hAnsi="Times New Roman" w:cs="Times New Roman"/>
                <w:sz w:val="24"/>
                <w:szCs w:val="24"/>
              </w:rPr>
              <w:t>0</w:t>
            </w:r>
            <w:r>
              <w:rPr>
                <w:rFonts w:ascii="Times New Roman" w:hAnsi="Times New Roman" w:cs="Times New Roman"/>
                <w:sz w:val="24"/>
                <w:szCs w:val="24"/>
              </w:rPr>
              <w:t>.</w:t>
            </w:r>
          </w:p>
        </w:tc>
        <w:tc>
          <w:tcPr>
            <w:tcW w:w="13182" w:type="dxa"/>
          </w:tcPr>
          <w:p w14:paraId="14E8EF8A" w14:textId="0358D406" w:rsidR="00AF3EB3" w:rsidRPr="00542DE5" w:rsidRDefault="00AF3EB3" w:rsidP="00AF3EB3">
            <w:pPr>
              <w:spacing w:after="0" w:line="240" w:lineRule="auto"/>
              <w:jc w:val="both"/>
              <w:rPr>
                <w:rFonts w:ascii="Times New Roman" w:eastAsia="Calibri" w:hAnsi="Times New Roman" w:cs="Times New Roman"/>
                <w:sz w:val="24"/>
                <w:szCs w:val="24"/>
              </w:rPr>
            </w:pPr>
            <w:r w:rsidRPr="00542DE5">
              <w:rPr>
                <w:rFonts w:ascii="Times New Roman" w:hAnsi="Times New Roman" w:cs="Times New Roman"/>
                <w:sz w:val="24"/>
                <w:szCs w:val="24"/>
              </w:rPr>
              <w:t>pirkimo objektas, vadovaujantis Lietuvos Respublikos viešųjų pirkimų įstatymu, turi nekelti grėsmės nacionaliniam saugumui (VPĮ 37 str.9 p.).</w:t>
            </w:r>
          </w:p>
        </w:tc>
      </w:tr>
      <w:tr w:rsidR="00AF3EB3" w:rsidRPr="00AF6233" w14:paraId="32369546" w14:textId="77777777" w:rsidTr="009A6B4D">
        <w:trPr>
          <w:trHeight w:val="315"/>
        </w:trPr>
        <w:tc>
          <w:tcPr>
            <w:tcW w:w="988" w:type="dxa"/>
          </w:tcPr>
          <w:p w14:paraId="160C72C0" w14:textId="2AC3955F"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7F399B">
              <w:rPr>
                <w:rFonts w:ascii="Times New Roman" w:hAnsi="Times New Roman" w:cs="Times New Roman"/>
                <w:sz w:val="24"/>
                <w:szCs w:val="24"/>
              </w:rPr>
              <w:t>1</w:t>
            </w:r>
            <w:r>
              <w:rPr>
                <w:rFonts w:ascii="Times New Roman" w:hAnsi="Times New Roman" w:cs="Times New Roman"/>
                <w:sz w:val="24"/>
                <w:szCs w:val="24"/>
              </w:rPr>
              <w:t>.</w:t>
            </w:r>
          </w:p>
        </w:tc>
        <w:tc>
          <w:tcPr>
            <w:tcW w:w="13182" w:type="dxa"/>
          </w:tcPr>
          <w:p w14:paraId="769AF85A" w14:textId="01CA8AED" w:rsidR="00AF3EB3" w:rsidRPr="00542DE5" w:rsidRDefault="00AF3EB3" w:rsidP="00AF3EB3">
            <w:pPr>
              <w:spacing w:after="0" w:line="240" w:lineRule="auto"/>
              <w:jc w:val="both"/>
              <w:rPr>
                <w:rFonts w:ascii="Times New Roman" w:eastAsia="Times New Roman" w:hAnsi="Times New Roman" w:cs="Times New Roman"/>
                <w:bCs/>
                <w:sz w:val="24"/>
                <w:szCs w:val="24"/>
                <w:lang w:eastAsia="ar-SA"/>
              </w:rPr>
            </w:pPr>
            <w:r w:rsidRPr="00542DE5">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AF3EB3" w:rsidRPr="00AF6233" w14:paraId="501CD83F" w14:textId="77777777" w:rsidTr="009A6B4D">
        <w:trPr>
          <w:trHeight w:val="315"/>
        </w:trPr>
        <w:tc>
          <w:tcPr>
            <w:tcW w:w="988" w:type="dxa"/>
          </w:tcPr>
          <w:p w14:paraId="07A16543" w14:textId="1953E813"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7F399B">
              <w:rPr>
                <w:rFonts w:ascii="Times New Roman" w:hAnsi="Times New Roman" w:cs="Times New Roman"/>
                <w:sz w:val="24"/>
                <w:szCs w:val="24"/>
              </w:rPr>
              <w:t>2</w:t>
            </w:r>
            <w:r>
              <w:rPr>
                <w:rFonts w:ascii="Times New Roman" w:hAnsi="Times New Roman" w:cs="Times New Roman"/>
                <w:sz w:val="24"/>
                <w:szCs w:val="24"/>
              </w:rPr>
              <w:t>.</w:t>
            </w:r>
          </w:p>
        </w:tc>
        <w:tc>
          <w:tcPr>
            <w:tcW w:w="13182" w:type="dxa"/>
          </w:tcPr>
          <w:p w14:paraId="55B65D0E" w14:textId="52406809" w:rsidR="00AF3EB3" w:rsidRPr="00542DE5" w:rsidRDefault="00AF3EB3" w:rsidP="00AF3EB3">
            <w:pPr>
              <w:spacing w:after="0" w:line="240" w:lineRule="auto"/>
              <w:jc w:val="both"/>
              <w:rPr>
                <w:rFonts w:ascii="Times New Roman" w:eastAsia="Times New Roman" w:hAnsi="Times New Roman" w:cs="Times New Roman"/>
                <w:bCs/>
                <w:sz w:val="24"/>
                <w:szCs w:val="24"/>
                <w:lang w:eastAsia="ar-SA"/>
              </w:rPr>
            </w:pPr>
            <w:r w:rsidRPr="00542DE5">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542DE5">
              <w:rPr>
                <w:rFonts w:ascii="Times New Roman" w:hAnsi="Times New Roman" w:cs="Times New Roman"/>
                <w:sz w:val="24"/>
                <w:szCs w:val="24"/>
              </w:rPr>
              <w:lastRenderedPageBreak/>
              <w:t>nacionalinės techninės specifikacijos, susijusios su darbų projektavimu, sąmatų apskaičiavimu ir vykdymu bei prekių naudojimu), turi būti laikoma, kad kiekviena tokia nuoroda yra pateikta su žodžiais „arba lygiavertis“.</w:t>
            </w:r>
          </w:p>
        </w:tc>
      </w:tr>
    </w:tbl>
    <w:p w14:paraId="73CBE8A0" w14:textId="77777777" w:rsidR="00C26446" w:rsidRDefault="00C26446" w:rsidP="00C26446">
      <w:pPr>
        <w:spacing w:after="0" w:line="240" w:lineRule="auto"/>
        <w:jc w:val="both"/>
        <w:rPr>
          <w:rFonts w:ascii="Times New Roman" w:eastAsia="Calibri" w:hAnsi="Times New Roman" w:cs="Times New Roman"/>
          <w:b/>
          <w:sz w:val="24"/>
          <w:szCs w:val="24"/>
        </w:rPr>
      </w:pPr>
    </w:p>
    <w:p w14:paraId="23A87263" w14:textId="1038F2EB" w:rsidR="00C26446" w:rsidRDefault="00C26446" w:rsidP="00C26446">
      <w:pPr>
        <w:spacing w:after="0" w:line="240" w:lineRule="auto"/>
        <w:jc w:val="both"/>
        <w:rPr>
          <w:rFonts w:ascii="Times New Roman" w:hAnsi="Times New Roman" w:cs="Times New Roman"/>
          <w:sz w:val="24"/>
          <w:szCs w:val="24"/>
        </w:rPr>
      </w:pPr>
      <w:r w:rsidRPr="006F253A">
        <w:rPr>
          <w:rFonts w:ascii="Times New Roman" w:eastAsia="Calibri" w:hAnsi="Times New Roman" w:cs="Times New Roman"/>
          <w:b/>
          <w:sz w:val="24"/>
          <w:szCs w:val="24"/>
        </w:rPr>
        <w:t>Kripto</w:t>
      </w:r>
      <w:r>
        <w:rPr>
          <w:rFonts w:ascii="Times New Roman" w:eastAsia="Calibri" w:hAnsi="Times New Roman" w:cs="Times New Roman"/>
          <w:b/>
          <w:sz w:val="24"/>
          <w:szCs w:val="24"/>
        </w:rPr>
        <w:t>gra</w:t>
      </w:r>
      <w:r w:rsidRPr="006F253A">
        <w:rPr>
          <w:rFonts w:ascii="Times New Roman" w:eastAsia="Calibri" w:hAnsi="Times New Roman" w:cs="Times New Roman"/>
          <w:b/>
          <w:sz w:val="24"/>
          <w:szCs w:val="24"/>
        </w:rPr>
        <w:t xml:space="preserve">finių raktų </w:t>
      </w:r>
      <w:r>
        <w:rPr>
          <w:rFonts w:ascii="Times New Roman" w:eastAsia="Calibri" w:hAnsi="Times New Roman" w:cs="Times New Roman"/>
          <w:b/>
          <w:sz w:val="24"/>
          <w:szCs w:val="24"/>
        </w:rPr>
        <w:t>generavimo</w:t>
      </w:r>
      <w:r w:rsidRPr="006F253A">
        <w:rPr>
          <w:rFonts w:ascii="Times New Roman" w:eastAsia="Calibri" w:hAnsi="Times New Roman" w:cs="Times New Roman"/>
          <w:b/>
          <w:sz w:val="24"/>
          <w:szCs w:val="24"/>
        </w:rPr>
        <w:t xml:space="preserve"> įrenginy</w:t>
      </w:r>
      <w:r>
        <w:rPr>
          <w:rFonts w:ascii="Times New Roman" w:eastAsia="Calibri" w:hAnsi="Times New Roman" w:cs="Times New Roman"/>
          <w:b/>
          <w:sz w:val="24"/>
          <w:szCs w:val="24"/>
        </w:rPr>
        <w:t>s</w:t>
      </w:r>
    </w:p>
    <w:tbl>
      <w:tblPr>
        <w:tblStyle w:val="TableGrid"/>
        <w:tblW w:w="14170" w:type="dxa"/>
        <w:tblLayout w:type="fixed"/>
        <w:tblLook w:val="04A0" w:firstRow="1" w:lastRow="0" w:firstColumn="1" w:lastColumn="0" w:noHBand="0" w:noVBand="1"/>
      </w:tblPr>
      <w:tblGrid>
        <w:gridCol w:w="1310"/>
        <w:gridCol w:w="6765"/>
        <w:gridCol w:w="6095"/>
      </w:tblGrid>
      <w:tr w:rsidR="004163DB" w:rsidRPr="00AF6233" w14:paraId="31B674C0" w14:textId="6AEA84E0" w:rsidTr="009C701F">
        <w:trPr>
          <w:trHeight w:val="315"/>
        </w:trPr>
        <w:tc>
          <w:tcPr>
            <w:tcW w:w="1310" w:type="dxa"/>
            <w:shd w:val="clear" w:color="auto" w:fill="D9D9D9" w:themeFill="background1" w:themeFillShade="D9"/>
          </w:tcPr>
          <w:p w14:paraId="41E65501" w14:textId="29D6BB82" w:rsidR="004163DB" w:rsidRPr="004163DB" w:rsidRDefault="004163DB" w:rsidP="004163DB">
            <w:pPr>
              <w:pStyle w:val="ListParagraph"/>
              <w:spacing w:after="0" w:line="240" w:lineRule="auto"/>
              <w:ind w:left="360"/>
              <w:rPr>
                <w:rFonts w:ascii="Times New Roman" w:hAnsi="Times New Roman" w:cs="Times New Roman"/>
                <w:b/>
                <w:bCs/>
                <w:sz w:val="24"/>
                <w:szCs w:val="24"/>
              </w:rPr>
            </w:pPr>
            <w:r w:rsidRPr="004163DB">
              <w:rPr>
                <w:rFonts w:ascii="Times New Roman" w:eastAsia="Calibri" w:hAnsi="Times New Roman" w:cs="Times New Roman"/>
                <w:b/>
                <w:bCs/>
                <w:sz w:val="24"/>
                <w:szCs w:val="24"/>
              </w:rPr>
              <w:t>Eil. Nr.</w:t>
            </w:r>
          </w:p>
        </w:tc>
        <w:tc>
          <w:tcPr>
            <w:tcW w:w="6765" w:type="dxa"/>
            <w:shd w:val="clear" w:color="auto" w:fill="D9D9D9" w:themeFill="background1" w:themeFillShade="D9"/>
          </w:tcPr>
          <w:p w14:paraId="3C57DE6E" w14:textId="0F32D04F" w:rsidR="004163DB" w:rsidRPr="004163DB" w:rsidRDefault="004163DB" w:rsidP="004163DB">
            <w:pPr>
              <w:spacing w:after="0" w:line="240" w:lineRule="auto"/>
              <w:rPr>
                <w:rFonts w:ascii="Times New Roman" w:eastAsia="Calibri" w:hAnsi="Times New Roman" w:cs="Times New Roman"/>
                <w:sz w:val="24"/>
                <w:szCs w:val="24"/>
              </w:rPr>
            </w:pPr>
            <w:r w:rsidRPr="004163DB">
              <w:rPr>
                <w:rFonts w:ascii="Times New Roman" w:eastAsia="Calibri" w:hAnsi="Times New Roman" w:cs="Times New Roman"/>
                <w:b/>
                <w:bCs/>
                <w:sz w:val="24"/>
                <w:szCs w:val="24"/>
              </w:rPr>
              <w:t>Reikalavimo pavadinimas ir reikalaujama techninė charakteristika</w:t>
            </w:r>
          </w:p>
        </w:tc>
        <w:tc>
          <w:tcPr>
            <w:tcW w:w="6095" w:type="dxa"/>
            <w:shd w:val="clear" w:color="auto" w:fill="D9D9D9" w:themeFill="background1" w:themeFillShade="D9"/>
          </w:tcPr>
          <w:p w14:paraId="60592436" w14:textId="77777777" w:rsidR="004163DB" w:rsidRPr="004163DB" w:rsidRDefault="004163DB" w:rsidP="00F531F4">
            <w:pPr>
              <w:shd w:val="clear" w:color="auto" w:fill="D9D9D9" w:themeFill="background1" w:themeFillShade="D9"/>
              <w:tabs>
                <w:tab w:val="left" w:pos="2"/>
              </w:tabs>
              <w:jc w:val="center"/>
              <w:rPr>
                <w:rFonts w:ascii="Times New Roman" w:eastAsia="Calibri" w:hAnsi="Times New Roman" w:cs="Times New Roman"/>
                <w:b/>
                <w:bCs/>
                <w:sz w:val="24"/>
                <w:szCs w:val="24"/>
              </w:rPr>
            </w:pPr>
            <w:r w:rsidRPr="004163DB">
              <w:rPr>
                <w:rFonts w:ascii="Times New Roman" w:eastAsia="Calibri" w:hAnsi="Times New Roman" w:cs="Times New Roman"/>
                <w:b/>
                <w:bCs/>
                <w:sz w:val="24"/>
                <w:szCs w:val="24"/>
              </w:rPr>
              <w:t>Siūloma charakteristika</w:t>
            </w:r>
          </w:p>
          <w:p w14:paraId="3323867D" w14:textId="20EBD6A5" w:rsidR="004040F6" w:rsidRDefault="004163DB" w:rsidP="004040F6">
            <w:pPr>
              <w:spacing w:after="0" w:line="240" w:lineRule="auto"/>
              <w:jc w:val="center"/>
              <w:rPr>
                <w:rFonts w:ascii="Times New Roman" w:hAnsi="Times New Roman" w:cs="Times New Roman"/>
                <w:i/>
                <w:iCs/>
                <w:color w:val="0070C0"/>
                <w:sz w:val="24"/>
                <w:szCs w:val="24"/>
              </w:rPr>
            </w:pPr>
            <w:r w:rsidRPr="004163DB">
              <w:rPr>
                <w:rFonts w:ascii="Times New Roman" w:hAnsi="Times New Roman" w:cs="Times New Roman"/>
                <w:bCs/>
                <w:iCs/>
                <w:color w:val="0070C0"/>
                <w:sz w:val="24"/>
                <w:szCs w:val="24"/>
              </w:rPr>
              <w:t xml:space="preserve">Tiekėjai, pildydami </w:t>
            </w:r>
            <w:r w:rsidRPr="004163DB">
              <w:rPr>
                <w:rFonts w:ascii="Times New Roman" w:hAnsi="Times New Roman" w:cs="Times New Roman"/>
                <w:bCs/>
                <w:i/>
                <w:iCs/>
                <w:color w:val="0070C0"/>
                <w:sz w:val="24"/>
                <w:szCs w:val="24"/>
              </w:rPr>
              <w:t>„Siūloma charakteristika“</w:t>
            </w:r>
            <w:r w:rsidRPr="004163DB">
              <w:rPr>
                <w:rFonts w:ascii="Times New Roman" w:hAnsi="Times New Roman" w:cs="Times New Roman"/>
                <w:bCs/>
                <w:iCs/>
                <w:color w:val="0070C0"/>
                <w:sz w:val="24"/>
                <w:szCs w:val="24"/>
              </w:rPr>
              <w:t xml:space="preserve">, turi nurodyti tikslų siūlomos prekės parametrą. </w:t>
            </w:r>
            <w:r w:rsidRPr="004163DB">
              <w:rPr>
                <w:rFonts w:ascii="Times New Roman" w:hAnsi="Times New Roman" w:cs="Times New Roman"/>
                <w:bCs/>
                <w:color w:val="0070C0"/>
                <w:sz w:val="24"/>
                <w:szCs w:val="24"/>
              </w:rPr>
              <w:t>Žodžiai „Atitinka“/ „Taip“/ „Ne mažiau“/ „Ne daugiau“/ „Ne blogiau“ neleidžiami.</w:t>
            </w:r>
          </w:p>
          <w:p w14:paraId="11FCFE5A" w14:textId="37E04E2B" w:rsidR="004163DB" w:rsidRPr="004163DB" w:rsidRDefault="004163DB" w:rsidP="004040F6">
            <w:pPr>
              <w:spacing w:after="0" w:line="240" w:lineRule="auto"/>
              <w:jc w:val="center"/>
              <w:rPr>
                <w:rFonts w:ascii="Times New Roman" w:eastAsia="Calibri" w:hAnsi="Times New Roman" w:cs="Times New Roman"/>
                <w:bCs/>
                <w:i/>
                <w:iCs/>
                <w:color w:val="2E74B5" w:themeColor="accent1" w:themeShade="BF"/>
                <w:sz w:val="24"/>
                <w:szCs w:val="24"/>
              </w:rPr>
            </w:pPr>
            <w:r w:rsidRPr="004163DB">
              <w:rPr>
                <w:rFonts w:ascii="Times New Roman" w:hAnsi="Times New Roman" w:cs="Times New Roman"/>
                <w:i/>
                <w:iCs/>
                <w:color w:val="0070C0"/>
                <w:sz w:val="24"/>
                <w:szCs w:val="24"/>
              </w:rPr>
              <w:t>Atitiktis techninei specifikacijai turi būti pagrįsta gamintojo dokumentacija ir (arba) viešai prieinama technine informacija</w:t>
            </w:r>
          </w:p>
        </w:tc>
      </w:tr>
      <w:tr w:rsidR="004163DB" w:rsidRPr="00AF6233" w14:paraId="07521C89" w14:textId="71C1DCBF" w:rsidTr="009C701F">
        <w:trPr>
          <w:trHeight w:val="315"/>
        </w:trPr>
        <w:tc>
          <w:tcPr>
            <w:tcW w:w="1310" w:type="dxa"/>
          </w:tcPr>
          <w:p w14:paraId="0D56C935" w14:textId="77777777" w:rsidR="004163DB" w:rsidRPr="004308AE" w:rsidRDefault="004163DB" w:rsidP="004163DB">
            <w:pPr>
              <w:pStyle w:val="ListParagraph"/>
              <w:numPr>
                <w:ilvl w:val="0"/>
                <w:numId w:val="9"/>
              </w:numPr>
              <w:spacing w:after="0" w:line="240" w:lineRule="auto"/>
              <w:rPr>
                <w:rFonts w:ascii="Times New Roman" w:hAnsi="Times New Roman" w:cs="Times New Roman"/>
                <w:b/>
                <w:bCs/>
                <w:sz w:val="24"/>
                <w:szCs w:val="24"/>
              </w:rPr>
            </w:pPr>
          </w:p>
        </w:tc>
        <w:tc>
          <w:tcPr>
            <w:tcW w:w="6765" w:type="dxa"/>
          </w:tcPr>
          <w:p w14:paraId="5571BC50" w14:textId="4BED97A6" w:rsidR="004163DB" w:rsidRPr="004308AE" w:rsidRDefault="009A6B4D" w:rsidP="004163DB">
            <w:pPr>
              <w:spacing w:after="0" w:line="240" w:lineRule="auto"/>
              <w:rPr>
                <w:rFonts w:ascii="Times New Roman" w:eastAsia="Calibri" w:hAnsi="Times New Roman" w:cs="Times New Roman"/>
                <w:b/>
                <w:sz w:val="24"/>
                <w:szCs w:val="24"/>
              </w:rPr>
            </w:pPr>
            <w:r w:rsidRPr="009A6B4D">
              <w:rPr>
                <w:rFonts w:ascii="Times New Roman" w:eastAsia="Calibri" w:hAnsi="Times New Roman" w:cs="Times New Roman"/>
                <w:sz w:val="24"/>
                <w:szCs w:val="24"/>
              </w:rPr>
              <w:t>Kriptografinių raktų generavimo įrenginys (toliau – Generatorius) turi būti suderinamas su Perkančiosios organizacijos naudojamais THALES NORWAY gamintojo kriptografiniais įrenginiais ir užtikrinti jų veikimui reikalingų kriptografinių raktų generavimą</w:t>
            </w:r>
            <w:r>
              <w:rPr>
                <w:rFonts w:ascii="Times New Roman" w:eastAsia="Calibri" w:hAnsi="Times New Roman" w:cs="Times New Roman"/>
                <w:sz w:val="24"/>
                <w:szCs w:val="24"/>
              </w:rPr>
              <w:t>.</w:t>
            </w:r>
          </w:p>
        </w:tc>
        <w:tc>
          <w:tcPr>
            <w:tcW w:w="6095" w:type="dxa"/>
          </w:tcPr>
          <w:p w14:paraId="353E8CB7" w14:textId="7FEE1517" w:rsidR="004163DB" w:rsidRPr="004163DB" w:rsidRDefault="004163DB" w:rsidP="004163DB">
            <w:pPr>
              <w:spacing w:after="0" w:line="240" w:lineRule="auto"/>
              <w:rPr>
                <w:rFonts w:ascii="Times New Roman" w:eastAsia="Calibri" w:hAnsi="Times New Roman" w:cs="Times New Roman"/>
                <w:bCs/>
                <w:i/>
                <w:iCs/>
                <w:sz w:val="24"/>
                <w:szCs w:val="24"/>
              </w:rPr>
            </w:pPr>
            <w:r w:rsidRPr="004163DB">
              <w:rPr>
                <w:rFonts w:ascii="Times New Roman" w:eastAsia="Calibri" w:hAnsi="Times New Roman" w:cs="Times New Roman"/>
                <w:bCs/>
                <w:i/>
                <w:iCs/>
                <w:color w:val="2E74B5" w:themeColor="accent1" w:themeShade="BF"/>
                <w:sz w:val="24"/>
                <w:szCs w:val="24"/>
              </w:rPr>
              <w:t>Nurodyti gamintoją ir modelį</w:t>
            </w:r>
          </w:p>
        </w:tc>
      </w:tr>
      <w:tr w:rsidR="004163DB" w:rsidRPr="00AF6233" w14:paraId="261AC0E1" w14:textId="50D0221F" w:rsidTr="004163DB">
        <w:trPr>
          <w:trHeight w:val="315"/>
        </w:trPr>
        <w:tc>
          <w:tcPr>
            <w:tcW w:w="1310" w:type="dxa"/>
          </w:tcPr>
          <w:p w14:paraId="741D7494"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12860" w:type="dxa"/>
            <w:gridSpan w:val="2"/>
          </w:tcPr>
          <w:p w14:paraId="5BB9DBF2" w14:textId="2DB06535" w:rsidR="004163DB" w:rsidRPr="00B65A16" w:rsidRDefault="004163DB" w:rsidP="004163DB">
            <w:pPr>
              <w:spacing w:after="0" w:line="240" w:lineRule="auto"/>
              <w:jc w:val="both"/>
              <w:rPr>
                <w:rFonts w:ascii="Times New Roman" w:eastAsia="Calibri" w:hAnsi="Times New Roman" w:cs="Times New Roman"/>
                <w:sz w:val="24"/>
                <w:szCs w:val="24"/>
              </w:rPr>
            </w:pPr>
            <w:r w:rsidRPr="00B65A16">
              <w:rPr>
                <w:rFonts w:ascii="Times New Roman" w:eastAsia="Calibri" w:hAnsi="Times New Roman" w:cs="Times New Roman"/>
                <w:sz w:val="24"/>
                <w:szCs w:val="24"/>
              </w:rPr>
              <w:t xml:space="preserve">Įranga turi būti suderinama </w:t>
            </w:r>
            <w:r w:rsidR="00412858" w:rsidRPr="00B65A16">
              <w:rPr>
                <w:rFonts w:ascii="Times New Roman" w:eastAsia="Calibri" w:hAnsi="Times New Roman" w:cs="Times New Roman"/>
                <w:sz w:val="24"/>
                <w:szCs w:val="24"/>
              </w:rPr>
              <w:t xml:space="preserve">su Perkančiosios organizacijos naudojamais </w:t>
            </w:r>
            <w:r w:rsidRPr="00B65A16">
              <w:rPr>
                <w:rFonts w:ascii="Times New Roman" w:eastAsia="Calibri" w:hAnsi="Times New Roman" w:cs="Times New Roman"/>
                <w:sz w:val="24"/>
                <w:szCs w:val="24"/>
              </w:rPr>
              <w:t>gamintojo THALES šifravimo įrenginiais TCE 621 B/C, TCE 621 Black, TCE 621 AES, TCE 621 M, TCE 811, TCE 671 SMC ir Thales eCustodian.</w:t>
            </w:r>
          </w:p>
        </w:tc>
      </w:tr>
      <w:tr w:rsidR="004163DB" w:rsidRPr="00AF6233" w14:paraId="3D70F343" w14:textId="4584954E" w:rsidTr="004163DB">
        <w:trPr>
          <w:trHeight w:val="315"/>
        </w:trPr>
        <w:tc>
          <w:tcPr>
            <w:tcW w:w="1310" w:type="dxa"/>
          </w:tcPr>
          <w:p w14:paraId="52C0C8C3"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12860" w:type="dxa"/>
            <w:gridSpan w:val="2"/>
          </w:tcPr>
          <w:p w14:paraId="0A60B7EB" w14:textId="00E48213" w:rsidR="004163DB" w:rsidRPr="00AF6233" w:rsidRDefault="004163DB" w:rsidP="004163D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Generatoriuje turi būti įdiegti kriptografiniai algoritmai: NATO Type A ir Type B (AES) bei pateiktos visos reikalingos licencijos pilnam įrangos funkcionalumui užtikrinti.</w:t>
            </w:r>
          </w:p>
        </w:tc>
      </w:tr>
      <w:tr w:rsidR="004163DB" w:rsidRPr="00AF6233" w14:paraId="36DC1987" w14:textId="1978AAD3" w:rsidTr="009C701F">
        <w:trPr>
          <w:trHeight w:val="315"/>
        </w:trPr>
        <w:tc>
          <w:tcPr>
            <w:tcW w:w="1310" w:type="dxa"/>
          </w:tcPr>
          <w:p w14:paraId="53CDE178"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6765" w:type="dxa"/>
            <w:vMerge w:val="restart"/>
          </w:tcPr>
          <w:p w14:paraId="7A058A14" w14:textId="77777777" w:rsidR="002E09C8" w:rsidRDefault="002E09C8" w:rsidP="004163DB">
            <w:pPr>
              <w:tabs>
                <w:tab w:val="left" w:pos="757"/>
              </w:tabs>
              <w:spacing w:after="0" w:line="240" w:lineRule="auto"/>
              <w:jc w:val="both"/>
              <w:rPr>
                <w:rFonts w:ascii="Times New Roman" w:eastAsia="Calibri" w:hAnsi="Times New Roman" w:cs="Times New Roman"/>
                <w:sz w:val="24"/>
                <w:szCs w:val="24"/>
              </w:rPr>
            </w:pPr>
            <w:r w:rsidRPr="002E09C8">
              <w:rPr>
                <w:rFonts w:ascii="Times New Roman" w:eastAsia="Calibri" w:hAnsi="Times New Roman" w:cs="Times New Roman"/>
                <w:sz w:val="24"/>
                <w:szCs w:val="24"/>
              </w:rPr>
              <w:t>Įranga turi tenkinti šiuos reikalavimus ir atlikti šias funkcijas:</w:t>
            </w:r>
          </w:p>
          <w:p w14:paraId="127F5274" w14:textId="45E840AA"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Kriptografinių raktų parametrų (</w:t>
            </w:r>
            <w:r>
              <w:rPr>
                <w:rFonts w:ascii="Times New Roman" w:hAnsi="Times New Roman" w:cs="Times New Roman"/>
                <w:sz w:val="24"/>
                <w:szCs w:val="24"/>
              </w:rPr>
              <w:t>ne mažiau kaip galiojimo, pavadinimo, laidos</w:t>
            </w:r>
            <w:r>
              <w:rPr>
                <w:rFonts w:ascii="Times New Roman" w:eastAsia="Calibri" w:hAnsi="Times New Roman" w:cs="Times New Roman"/>
                <w:sz w:val="24"/>
                <w:szCs w:val="24"/>
              </w:rPr>
              <w:t>) nustatymas;</w:t>
            </w:r>
          </w:p>
          <w:p w14:paraId="398ADCEB"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Paskyrų registravimas;</w:t>
            </w:r>
          </w:p>
          <w:p w14:paraId="1F4A06BA"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Kriptografinių raktų paskirstymo įrenginių nustatymas;</w:t>
            </w:r>
          </w:p>
          <w:p w14:paraId="75F0E1DD"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Kriptografinių raktų paskirstymo raktų nustatymas;</w:t>
            </w:r>
          </w:p>
          <w:p w14:paraId="3515C263"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paskirstymo padalinių registravimas;</w:t>
            </w:r>
          </w:p>
          <w:p w14:paraId="1ECF2769"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Automatinis ir rankinis kriptografinių raktų grupių nustatymas;</w:t>
            </w:r>
          </w:p>
          <w:p w14:paraId="0C2799A6"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Automatinis kriptografinių raktų paskirstymas;</w:t>
            </w:r>
          </w:p>
          <w:p w14:paraId="663E391D"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paskirstymo plano nustatymas;</w:t>
            </w:r>
          </w:p>
          <w:p w14:paraId="7C21F622"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generavimas ir saugojimas;</w:t>
            </w:r>
          </w:p>
          <w:p w14:paraId="3DEC6612"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šifravimas (gali būti atliekamas ir techniniame lygmenyje);</w:t>
            </w:r>
          </w:p>
          <w:p w14:paraId="311493C9"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trynimas;</w:t>
            </w:r>
          </w:p>
          <w:p w14:paraId="7D76584A"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Kriptografinių raktų įrašymas į optines laikmenas</w:t>
            </w:r>
            <w:r w:rsidDel="00022377">
              <w:rPr>
                <w:rFonts w:ascii="Times New Roman" w:hAnsi="Times New Roman" w:cs="Times New Roman"/>
                <w:sz w:val="24"/>
                <w:szCs w:val="24"/>
              </w:rPr>
              <w:t xml:space="preserve"> </w:t>
            </w:r>
            <w:r>
              <w:rPr>
                <w:rFonts w:ascii="Times New Roman" w:hAnsi="Times New Roman" w:cs="Times New Roman"/>
                <w:sz w:val="24"/>
                <w:szCs w:val="24"/>
              </w:rPr>
              <w:t xml:space="preserve">(CD ir/arba DVD), lustines korteles (angl. </w:t>
            </w:r>
            <w:r w:rsidRPr="003B4E8C">
              <w:rPr>
                <w:rFonts w:ascii="Times New Roman" w:hAnsi="Times New Roman" w:cs="Times New Roman"/>
                <w:sz w:val="24"/>
                <w:szCs w:val="24"/>
              </w:rPr>
              <w:t>Smart Card</w:t>
            </w:r>
            <w:r>
              <w:rPr>
                <w:rFonts w:ascii="Times New Roman" w:hAnsi="Times New Roman" w:cs="Times New Roman"/>
                <w:sz w:val="24"/>
                <w:szCs w:val="24"/>
              </w:rPr>
              <w:t>) ir NATO patvirtintus kriptografinių raktų įkrovimo įrenginius (pvz. SKL, TCE 811 ir t. t.);</w:t>
            </w:r>
          </w:p>
          <w:p w14:paraId="4025F9A8"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Ataskaitų generavimas ir spausdinimas;</w:t>
            </w:r>
          </w:p>
          <w:p w14:paraId="0BE775BB"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atsarginis kopijavimas.</w:t>
            </w:r>
          </w:p>
          <w:p w14:paraId="499C364A"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Elektroninių raktų įkrovimo funkciją per raktų įkėlimo </w:t>
            </w:r>
            <w:r>
              <w:rPr>
                <w:rFonts w:ascii="Times New Roman" w:hAnsi="Times New Roman" w:cs="Times New Roman"/>
                <w:sz w:val="24"/>
                <w:szCs w:val="24"/>
              </w:rPr>
              <w:t xml:space="preserve">EKMS 308 </w:t>
            </w:r>
            <w:r>
              <w:rPr>
                <w:rFonts w:ascii="Times New Roman" w:eastAsia="Calibri" w:hAnsi="Times New Roman" w:cs="Times New Roman"/>
                <w:sz w:val="24"/>
                <w:szCs w:val="24"/>
              </w:rPr>
              <w:t>sąsają bei protokolus DS101/RS-485, DS-101/RS-232, DS-102;</w:t>
            </w:r>
          </w:p>
          <w:p w14:paraId="0B085A99" w14:textId="08DB86EF"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r w:rsidRPr="00AF3EB3">
              <w:rPr>
                <w:rFonts w:ascii="Times New Roman" w:eastAsia="Calibri" w:hAnsi="Times New Roman" w:cs="Times New Roman"/>
                <w:sz w:val="24"/>
                <w:szCs w:val="24"/>
              </w:rPr>
              <w:t>Įranga turi būti patvirtinta NATO, kad ja leidžiama apdoroti visų NATO slaptumo žymų įslaptintą informaciją ir generuoti kriptografinius raktus.</w:t>
            </w:r>
          </w:p>
        </w:tc>
        <w:tc>
          <w:tcPr>
            <w:tcW w:w="6095" w:type="dxa"/>
            <w:vMerge w:val="restart"/>
          </w:tcPr>
          <w:p w14:paraId="0F0290EE" w14:textId="027F2396" w:rsidR="00AE044C" w:rsidRPr="00AE044C" w:rsidRDefault="00AE044C" w:rsidP="00AE044C">
            <w:pPr>
              <w:tabs>
                <w:tab w:val="left" w:pos="757"/>
              </w:tabs>
              <w:spacing w:after="0" w:line="240" w:lineRule="auto"/>
              <w:jc w:val="both"/>
              <w:rPr>
                <w:rFonts w:ascii="Times New Roman" w:eastAsia="Calibri" w:hAnsi="Times New Roman" w:cs="Times New Roman"/>
                <w:bCs/>
                <w:i/>
                <w:iCs/>
                <w:color w:val="2E74B5" w:themeColor="accent1" w:themeShade="BF"/>
                <w:sz w:val="24"/>
                <w:szCs w:val="24"/>
              </w:rPr>
            </w:pPr>
            <w:r w:rsidRPr="00AE044C">
              <w:rPr>
                <w:rFonts w:ascii="Times New Roman" w:eastAsia="Calibri" w:hAnsi="Times New Roman" w:cs="Times New Roman"/>
                <w:bCs/>
                <w:i/>
                <w:iCs/>
                <w:color w:val="2E74B5" w:themeColor="accent1" w:themeShade="BF"/>
                <w:sz w:val="24"/>
                <w:szCs w:val="24"/>
              </w:rPr>
              <w:lastRenderedPageBreak/>
              <w:t>Tikslus aprašymas, gamintojo dokumentacija ir (arba) viešai prieinama technin</w:t>
            </w:r>
            <w:r w:rsidR="0092443B">
              <w:rPr>
                <w:rFonts w:ascii="Times New Roman" w:eastAsia="Calibri" w:hAnsi="Times New Roman" w:cs="Times New Roman"/>
                <w:bCs/>
                <w:i/>
                <w:iCs/>
                <w:color w:val="2E74B5" w:themeColor="accent1" w:themeShade="BF"/>
                <w:sz w:val="24"/>
                <w:szCs w:val="24"/>
              </w:rPr>
              <w:t>ė</w:t>
            </w:r>
            <w:r w:rsidRPr="00AE044C">
              <w:rPr>
                <w:rFonts w:ascii="Times New Roman" w:eastAsia="Calibri" w:hAnsi="Times New Roman" w:cs="Times New Roman"/>
                <w:bCs/>
                <w:i/>
                <w:iCs/>
                <w:color w:val="2E74B5" w:themeColor="accent1" w:themeShade="BF"/>
                <w:sz w:val="24"/>
                <w:szCs w:val="24"/>
              </w:rPr>
              <w:t xml:space="preserve"> informacija</w:t>
            </w:r>
          </w:p>
          <w:p w14:paraId="453E2EF4" w14:textId="2278CAA3"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7BC2C25F" w14:textId="4C3FB951" w:rsidTr="009C701F">
        <w:trPr>
          <w:trHeight w:val="520"/>
        </w:trPr>
        <w:tc>
          <w:tcPr>
            <w:tcW w:w="1310" w:type="dxa"/>
          </w:tcPr>
          <w:p w14:paraId="34CC1E32"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74F0AFB" w14:textId="39DAB46D"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43B5332A"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686BEDE6" w14:textId="70A7E813" w:rsidTr="009C701F">
        <w:trPr>
          <w:trHeight w:val="315"/>
        </w:trPr>
        <w:tc>
          <w:tcPr>
            <w:tcW w:w="1310" w:type="dxa"/>
          </w:tcPr>
          <w:p w14:paraId="79A7BD61"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0E7C839" w14:textId="6FA774B1"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747F21C7"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7E0A134C" w14:textId="5508AB52" w:rsidTr="009C701F">
        <w:trPr>
          <w:trHeight w:val="315"/>
        </w:trPr>
        <w:tc>
          <w:tcPr>
            <w:tcW w:w="1310" w:type="dxa"/>
          </w:tcPr>
          <w:p w14:paraId="0F928718"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394153BA" w14:textId="0175A1B9"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48A15788"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182131FA" w14:textId="73B96C76" w:rsidTr="009C701F">
        <w:trPr>
          <w:trHeight w:val="315"/>
        </w:trPr>
        <w:tc>
          <w:tcPr>
            <w:tcW w:w="1310" w:type="dxa"/>
          </w:tcPr>
          <w:p w14:paraId="6393353C"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54444F8" w14:textId="546EF35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2B82D3EB"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0DFF8CB" w14:textId="09BFC93F" w:rsidTr="009C701F">
        <w:trPr>
          <w:trHeight w:val="315"/>
        </w:trPr>
        <w:tc>
          <w:tcPr>
            <w:tcW w:w="1310" w:type="dxa"/>
          </w:tcPr>
          <w:p w14:paraId="4C86F3B3"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0E232305" w14:textId="178A3E8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1D98386D"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10AC94C0" w14:textId="03D2E8DB" w:rsidTr="009C701F">
        <w:trPr>
          <w:trHeight w:val="315"/>
        </w:trPr>
        <w:tc>
          <w:tcPr>
            <w:tcW w:w="1310" w:type="dxa"/>
          </w:tcPr>
          <w:p w14:paraId="0B58666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6B75EFAB" w14:textId="40BEAD0F"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D3BC9F6"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53FB97D5" w14:textId="43BCEFD1" w:rsidTr="009C701F">
        <w:trPr>
          <w:trHeight w:val="315"/>
        </w:trPr>
        <w:tc>
          <w:tcPr>
            <w:tcW w:w="1310" w:type="dxa"/>
          </w:tcPr>
          <w:p w14:paraId="47D33775"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E9DBCB3" w14:textId="6009C42A"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248F45A"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0D8C1C0F" w14:textId="17BFC74D" w:rsidTr="009C701F">
        <w:trPr>
          <w:trHeight w:val="315"/>
        </w:trPr>
        <w:tc>
          <w:tcPr>
            <w:tcW w:w="1310" w:type="dxa"/>
          </w:tcPr>
          <w:p w14:paraId="75FC9E1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5EB94CAE" w14:textId="23426347"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334D9E41"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45A521C4" w14:textId="6272A109" w:rsidTr="009C701F">
        <w:trPr>
          <w:trHeight w:val="315"/>
        </w:trPr>
        <w:tc>
          <w:tcPr>
            <w:tcW w:w="1310" w:type="dxa"/>
          </w:tcPr>
          <w:p w14:paraId="531D16D5"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5BFCBEFF" w14:textId="47BAF095"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6298B760"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AF3EB3" w:rsidRPr="00AF6233" w14:paraId="2074FC35" w14:textId="77777777" w:rsidTr="009C701F">
        <w:trPr>
          <w:trHeight w:val="315"/>
        </w:trPr>
        <w:tc>
          <w:tcPr>
            <w:tcW w:w="1310" w:type="dxa"/>
          </w:tcPr>
          <w:p w14:paraId="2D9A7752" w14:textId="77777777" w:rsidR="00AF3EB3" w:rsidRPr="00AF6233" w:rsidRDefault="00AF3EB3"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9E03F29" w14:textId="77777777" w:rsidR="00AF3EB3" w:rsidRDefault="00AF3EB3"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AE3CE7A" w14:textId="77777777" w:rsidR="00AF3EB3" w:rsidRDefault="00AF3EB3" w:rsidP="004163DB">
            <w:pPr>
              <w:tabs>
                <w:tab w:val="left" w:pos="757"/>
              </w:tabs>
              <w:spacing w:after="0" w:line="240" w:lineRule="auto"/>
              <w:jc w:val="both"/>
              <w:rPr>
                <w:rFonts w:ascii="Times New Roman" w:hAnsi="Times New Roman" w:cs="Times New Roman"/>
                <w:sz w:val="24"/>
                <w:szCs w:val="24"/>
              </w:rPr>
            </w:pPr>
          </w:p>
        </w:tc>
      </w:tr>
      <w:tr w:rsidR="004163DB" w:rsidRPr="00AF6233" w14:paraId="58F96898" w14:textId="7B4CA2D5" w:rsidTr="009C701F">
        <w:trPr>
          <w:trHeight w:val="315"/>
        </w:trPr>
        <w:tc>
          <w:tcPr>
            <w:tcW w:w="1310" w:type="dxa"/>
          </w:tcPr>
          <w:p w14:paraId="6B0D2854"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2344E636" w14:textId="65EFE718"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60FAD28"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339F78D" w14:textId="147DAB4C" w:rsidTr="009C701F">
        <w:trPr>
          <w:trHeight w:val="315"/>
        </w:trPr>
        <w:tc>
          <w:tcPr>
            <w:tcW w:w="1310" w:type="dxa"/>
          </w:tcPr>
          <w:p w14:paraId="732E6CA7"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687A8060" w14:textId="254EDBB3"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34214479"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57167CE" w14:textId="58C8C3D6" w:rsidTr="009C701F">
        <w:trPr>
          <w:trHeight w:val="315"/>
        </w:trPr>
        <w:tc>
          <w:tcPr>
            <w:tcW w:w="1310" w:type="dxa"/>
          </w:tcPr>
          <w:p w14:paraId="41DACA5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AFFA85C" w14:textId="563EEBF0"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290DE101"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762E1AC" w14:textId="493DC260" w:rsidTr="009C701F">
        <w:trPr>
          <w:trHeight w:val="315"/>
        </w:trPr>
        <w:tc>
          <w:tcPr>
            <w:tcW w:w="1310" w:type="dxa"/>
          </w:tcPr>
          <w:p w14:paraId="4AA830DD"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C31C8B7" w14:textId="50EBABE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6156C4CD"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5E3CBF27" w14:textId="266ED2EB" w:rsidTr="009C701F">
        <w:trPr>
          <w:trHeight w:val="315"/>
        </w:trPr>
        <w:tc>
          <w:tcPr>
            <w:tcW w:w="1310" w:type="dxa"/>
          </w:tcPr>
          <w:p w14:paraId="577882F0"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3A7011DA" w14:textId="4802A98D"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049E555F"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364481E1" w14:textId="518CCBC3" w:rsidTr="009C701F">
        <w:trPr>
          <w:trHeight w:val="315"/>
        </w:trPr>
        <w:tc>
          <w:tcPr>
            <w:tcW w:w="1310" w:type="dxa"/>
          </w:tcPr>
          <w:p w14:paraId="5B7E2C02"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98C491F" w14:textId="14B918AC" w:rsidR="004163DB" w:rsidRPr="0074045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2171D115" w14:textId="77777777" w:rsidR="004163DB" w:rsidRPr="0074045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CC189B" w:rsidRPr="00AF6233" w14:paraId="1A5DC5F1" w14:textId="77777777" w:rsidTr="009657A0">
        <w:trPr>
          <w:trHeight w:val="315"/>
        </w:trPr>
        <w:tc>
          <w:tcPr>
            <w:tcW w:w="1310" w:type="dxa"/>
          </w:tcPr>
          <w:p w14:paraId="0738D51A" w14:textId="405F7319" w:rsidR="00CC189B" w:rsidRPr="00AF3EB3" w:rsidRDefault="00CC189B"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1.4.</w:t>
            </w:r>
          </w:p>
        </w:tc>
        <w:tc>
          <w:tcPr>
            <w:tcW w:w="12860" w:type="dxa"/>
            <w:gridSpan w:val="2"/>
          </w:tcPr>
          <w:p w14:paraId="1A18389F" w14:textId="77777777" w:rsidR="00CC189B" w:rsidRDefault="00CC189B"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Garantija:</w:t>
            </w:r>
          </w:p>
          <w:p w14:paraId="2E40DEA4" w14:textId="49DEAE87" w:rsidR="00CC189B" w:rsidRDefault="00C9203F"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amintojo garanti</w:t>
            </w:r>
            <w:r>
              <w:rPr>
                <w:rFonts w:ascii="Times New Roman" w:eastAsia="Calibri" w:hAnsi="Times New Roman" w:cs="Times New Roman"/>
                <w:sz w:val="24"/>
                <w:szCs w:val="24"/>
              </w:rPr>
              <w:t>nis laikotarpis -</w:t>
            </w:r>
            <w:r w:rsidR="00CC189B" w:rsidRPr="00AF3EB3">
              <w:rPr>
                <w:rFonts w:ascii="Times New Roman" w:eastAsia="Calibri" w:hAnsi="Times New Roman" w:cs="Times New Roman"/>
                <w:sz w:val="24"/>
                <w:szCs w:val="24"/>
              </w:rPr>
              <w:t xml:space="preserve"> ne trumpes</w:t>
            </w:r>
            <w:r>
              <w:rPr>
                <w:rFonts w:ascii="Times New Roman" w:eastAsia="Calibri" w:hAnsi="Times New Roman" w:cs="Times New Roman"/>
                <w:sz w:val="24"/>
                <w:szCs w:val="24"/>
              </w:rPr>
              <w:t>nis</w:t>
            </w:r>
            <w:r w:rsidR="00CC189B" w:rsidRPr="00AF3EB3">
              <w:rPr>
                <w:rFonts w:ascii="Times New Roman" w:eastAsia="Calibri" w:hAnsi="Times New Roman" w:cs="Times New Roman"/>
                <w:sz w:val="24"/>
                <w:szCs w:val="24"/>
              </w:rPr>
              <w:t xml:space="preserve"> kaip </w:t>
            </w:r>
            <w:r w:rsidR="007A1CAB">
              <w:rPr>
                <w:rFonts w:ascii="Times New Roman" w:eastAsia="Calibri" w:hAnsi="Times New Roman" w:cs="Times New Roman"/>
                <w:sz w:val="24"/>
                <w:szCs w:val="24"/>
              </w:rPr>
              <w:t>2 met</w:t>
            </w:r>
            <w:r w:rsidR="003E39BF">
              <w:rPr>
                <w:rFonts w:ascii="Times New Roman" w:eastAsia="Calibri" w:hAnsi="Times New Roman" w:cs="Times New Roman"/>
                <w:sz w:val="24"/>
                <w:szCs w:val="24"/>
              </w:rPr>
              <w:t>ai</w:t>
            </w:r>
            <w:r w:rsidR="00CC189B" w:rsidRPr="00AF3EB3">
              <w:rPr>
                <w:rFonts w:ascii="Times New Roman" w:eastAsia="Calibri" w:hAnsi="Times New Roman" w:cs="Times New Roman"/>
                <w:sz w:val="24"/>
                <w:szCs w:val="24"/>
              </w:rPr>
              <w:t xml:space="preserve">; </w:t>
            </w:r>
          </w:p>
          <w:p w14:paraId="072A0B75" w14:textId="51E3576A" w:rsidR="0063417F" w:rsidRPr="00AF3EB3" w:rsidRDefault="0063417F" w:rsidP="0063417F">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Pr="00AF3EB3">
              <w:rPr>
                <w:rFonts w:ascii="Times New Roman" w:eastAsia="Calibri" w:hAnsi="Times New Roman" w:cs="Times New Roman"/>
                <w:sz w:val="24"/>
                <w:szCs w:val="24"/>
              </w:rPr>
              <w:t>arantinis laikotarpis skaičiuojamas nuo priėmimo–perdavimo akto pasirašymo dienos;</w:t>
            </w:r>
          </w:p>
          <w:p w14:paraId="6DA27BE1" w14:textId="377E8B44" w:rsidR="0063417F" w:rsidRPr="00AF3EB3" w:rsidRDefault="0063417F" w:rsidP="0063417F">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Pr="00AF3EB3">
              <w:rPr>
                <w:rFonts w:ascii="Times New Roman" w:eastAsia="Calibri" w:hAnsi="Times New Roman" w:cs="Times New Roman"/>
                <w:sz w:val="24"/>
                <w:szCs w:val="24"/>
              </w:rPr>
              <w:t>arantiniu laikotarpiu turi būti nemokamai teikiami gamintojo programinės įrangos atnaujinimai (angl. upgrades, updates);</w:t>
            </w:r>
          </w:p>
          <w:p w14:paraId="09A9F9DF" w14:textId="39557F7F" w:rsidR="00CC189B" w:rsidRPr="00AF3EB3" w:rsidRDefault="00986F6E"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arantinio remonto trukmė – ne ilgiau kaip 60 kalendorinių dienų. Jei sugedusios įrangos per šį laikotarpį pataisyti neįmanoma, ji pakeičiama ekvivalentiška nauja;</w:t>
            </w:r>
          </w:p>
          <w:p w14:paraId="2CBDBE2C" w14:textId="0E570D50" w:rsidR="00CC189B" w:rsidRPr="00AF3EB3" w:rsidRDefault="00F3794C"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arantiniu laikotarpiu tiekėjas privalo atlikti darbus savo lėšomis, įskaitant transportavimo išlaidas;</w:t>
            </w:r>
          </w:p>
          <w:p w14:paraId="708E3395" w14:textId="15FDEC6B" w:rsidR="00CC189B" w:rsidRPr="0074045B" w:rsidRDefault="00F3794C"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arantiniu laikotarpiu turi būti nemokamai teikiamas įrangos techninis palaikymas (angl. technical support), ne prastesnis nei leidžiantis registruoti (internetu, elektroniniu paštu telefonu) problemą ir gauti sprendimą darbo valandomis (8 x 5 režimu); techniniais klausimais perkančioji organizacija turi galėti kreiptis tiesiogiai į įrangos gamintoją;</w:t>
            </w:r>
          </w:p>
        </w:tc>
      </w:tr>
      <w:tr w:rsidR="00AF3EB3" w:rsidRPr="00AF6233" w14:paraId="546505F9" w14:textId="77777777" w:rsidTr="009C701F">
        <w:trPr>
          <w:trHeight w:val="315"/>
        </w:trPr>
        <w:tc>
          <w:tcPr>
            <w:tcW w:w="1310" w:type="dxa"/>
          </w:tcPr>
          <w:p w14:paraId="6A16B457" w14:textId="30C9E1D2" w:rsid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1.5.</w:t>
            </w:r>
          </w:p>
        </w:tc>
        <w:tc>
          <w:tcPr>
            <w:tcW w:w="6765" w:type="dxa"/>
          </w:tcPr>
          <w:p w14:paraId="04116532" w14:textId="6EFEF003" w:rsidR="00AF3EB3" w:rsidRPr="00AF3EB3" w:rsidRDefault="00AF3EB3" w:rsidP="00AF3EB3">
            <w:pPr>
              <w:tabs>
                <w:tab w:val="left" w:pos="757"/>
              </w:tabs>
              <w:spacing w:after="0" w:line="240" w:lineRule="auto"/>
              <w:jc w:val="both"/>
              <w:rPr>
                <w:rFonts w:ascii="Times New Roman" w:eastAsia="Calibri" w:hAnsi="Times New Roman" w:cs="Times New Roman"/>
                <w:sz w:val="24"/>
                <w:szCs w:val="24"/>
              </w:rPr>
            </w:pPr>
            <w:r w:rsidRPr="00CB35AB">
              <w:rPr>
                <w:rFonts w:ascii="Times New Roman" w:hAnsi="Times New Roman" w:cs="Times New Roman"/>
                <w:sz w:val="24"/>
                <w:szCs w:val="24"/>
              </w:rPr>
              <w:t>Įrangos garantinis aptarnavimas turi būti atliekamas gamintojo įgaliotuose (autorizuotuose) serviso centruose. Įrangos tiekėjas privalo turėti gamintojo autorizuotą priežiūros centrą arba turi būti sudaręs sutartį dėl priežiūros su gamintojo autorizuotu priežiūros centru</w:t>
            </w:r>
            <w:r>
              <w:rPr>
                <w:rFonts w:ascii="Times New Roman" w:hAnsi="Times New Roman" w:cs="Times New Roman"/>
                <w:b/>
                <w:bCs/>
                <w:sz w:val="24"/>
                <w:szCs w:val="24"/>
              </w:rPr>
              <w:t>.</w:t>
            </w:r>
          </w:p>
        </w:tc>
        <w:tc>
          <w:tcPr>
            <w:tcW w:w="6095" w:type="dxa"/>
          </w:tcPr>
          <w:p w14:paraId="2A63DEBF" w14:textId="2130CF9B" w:rsidR="00AF3EB3" w:rsidRPr="0074045B" w:rsidRDefault="007362C8"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i/>
                <w:iCs/>
                <w:color w:val="2E74B5" w:themeColor="accent1" w:themeShade="BF"/>
                <w:sz w:val="24"/>
                <w:szCs w:val="24"/>
              </w:rPr>
              <w:t>P</w:t>
            </w:r>
            <w:r w:rsidR="00AF3EB3" w:rsidRPr="007362C8">
              <w:rPr>
                <w:rFonts w:ascii="Times New Roman" w:eastAsia="Calibri" w:hAnsi="Times New Roman" w:cs="Times New Roman"/>
                <w:bCs/>
                <w:i/>
                <w:iCs/>
                <w:color w:val="2E74B5" w:themeColor="accent1" w:themeShade="BF"/>
                <w:sz w:val="24"/>
                <w:szCs w:val="24"/>
              </w:rPr>
              <w:t>ateikti tai įrodančius dokumentus</w:t>
            </w:r>
          </w:p>
        </w:tc>
      </w:tr>
      <w:tr w:rsidR="004163DB" w:rsidRPr="00AF6233" w14:paraId="44811C49" w14:textId="28D551BB" w:rsidTr="009C701F">
        <w:trPr>
          <w:trHeight w:val="315"/>
        </w:trPr>
        <w:tc>
          <w:tcPr>
            <w:tcW w:w="1310" w:type="dxa"/>
          </w:tcPr>
          <w:p w14:paraId="7D3762E3" w14:textId="788847AC" w:rsidR="004163DB"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6765" w:type="dxa"/>
          </w:tcPr>
          <w:p w14:paraId="50D9899D" w14:textId="700B43C3" w:rsidR="004163DB" w:rsidRPr="00AF6233"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sidRPr="00803D33">
              <w:rPr>
                <w:rFonts w:ascii="Times New Roman" w:eastAsia="Calibri" w:hAnsi="Times New Roman" w:cs="Times New Roman"/>
                <w:sz w:val="24"/>
                <w:szCs w:val="24"/>
              </w:rPr>
              <w:t>Įrangos sisteminiai pranešimai turi būti lietuvių arba anglų kalba. Užrašai ant įrenginių ir jo dalių turi būti lietuvių arba anglų kalba. Gamintojo interneto svetainėje tvarkyklių ir dokumentų paieška atliekama lietuvių arba anglų kalba</w:t>
            </w:r>
          </w:p>
        </w:tc>
        <w:tc>
          <w:tcPr>
            <w:tcW w:w="6095" w:type="dxa"/>
          </w:tcPr>
          <w:p w14:paraId="1AAD46B5" w14:textId="4F30D3B9" w:rsidR="004163DB" w:rsidRPr="00AF6233" w:rsidRDefault="004163DB" w:rsidP="000D2240">
            <w:pPr>
              <w:tabs>
                <w:tab w:val="left" w:pos="757"/>
              </w:tabs>
              <w:spacing w:after="0" w:line="240" w:lineRule="auto"/>
              <w:jc w:val="both"/>
              <w:rPr>
                <w:rFonts w:ascii="Times New Roman" w:eastAsia="Calibri" w:hAnsi="Times New Roman" w:cs="Times New Roman"/>
                <w:sz w:val="24"/>
                <w:szCs w:val="24"/>
              </w:rPr>
            </w:pPr>
            <w:r w:rsidRPr="000D2240">
              <w:rPr>
                <w:rFonts w:ascii="Times New Roman" w:eastAsia="Calibri" w:hAnsi="Times New Roman" w:cs="Times New Roman"/>
                <w:bCs/>
                <w:i/>
                <w:iCs/>
                <w:color w:val="2E74B5" w:themeColor="accent1" w:themeShade="BF"/>
                <w:sz w:val="24"/>
                <w:szCs w:val="24"/>
              </w:rPr>
              <w:t>Nurodyti kalbą</w:t>
            </w:r>
          </w:p>
        </w:tc>
      </w:tr>
      <w:tr w:rsidR="004163DB" w:rsidRPr="00AF6233" w14:paraId="6E35A759" w14:textId="77777777" w:rsidTr="004163DB">
        <w:trPr>
          <w:trHeight w:val="315"/>
        </w:trPr>
        <w:tc>
          <w:tcPr>
            <w:tcW w:w="1310" w:type="dxa"/>
          </w:tcPr>
          <w:p w14:paraId="5F95AB57" w14:textId="4A4717F5" w:rsidR="004163DB" w:rsidRPr="00AF3EB3" w:rsidRDefault="00AF3EB3"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1.7.</w:t>
            </w:r>
          </w:p>
        </w:tc>
        <w:tc>
          <w:tcPr>
            <w:tcW w:w="12860" w:type="dxa"/>
            <w:gridSpan w:val="2"/>
          </w:tcPr>
          <w:p w14:paraId="0BDB115C" w14:textId="256BC66D" w:rsidR="004163DB" w:rsidRPr="00276812" w:rsidRDefault="004163DB" w:rsidP="004163DB">
            <w:pPr>
              <w:spacing w:after="0" w:line="240" w:lineRule="auto"/>
              <w:jc w:val="both"/>
              <w:rPr>
                <w:rFonts w:ascii="Times New Roman" w:eastAsia="Calibri" w:hAnsi="Times New Roman" w:cs="Times New Roman"/>
                <w:sz w:val="24"/>
                <w:szCs w:val="24"/>
              </w:rPr>
            </w:pPr>
            <w:r w:rsidRPr="00276812">
              <w:rPr>
                <w:rFonts w:ascii="Times New Roman" w:eastAsia="Calibri" w:hAnsi="Times New Roman" w:cs="Times New Roman"/>
                <w:sz w:val="24"/>
                <w:szCs w:val="24"/>
              </w:rPr>
              <w:t>Įranga turi būti parengta siuntimui perkančiajai organizacijai ir perduota įrangos gamintojo šalies Nacionalinei šifrų paskirstymo tarnybai (angl. National Distribution Authority - NDA) (toliau – NŠPT), ne vėliau kaip per 180 kalendorinių dienų nuo pirkimo sutarties įsigaliojimo dienos. Įranga turi būti pristatyta į NKSC techninį centrą, adresu Šilo g. 5A, Vilnius.</w:t>
            </w:r>
          </w:p>
        </w:tc>
      </w:tr>
      <w:tr w:rsidR="004163DB" w:rsidRPr="00AF6233" w14:paraId="4A649633" w14:textId="77777777" w:rsidTr="00AF3EB3">
        <w:trPr>
          <w:trHeight w:val="315"/>
        </w:trPr>
        <w:tc>
          <w:tcPr>
            <w:tcW w:w="1310" w:type="dxa"/>
          </w:tcPr>
          <w:p w14:paraId="1B61F2A0" w14:textId="66C24010" w:rsidR="004163DB" w:rsidRPr="00AF3EB3" w:rsidRDefault="00AF3EB3"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1.8.</w:t>
            </w:r>
          </w:p>
        </w:tc>
        <w:tc>
          <w:tcPr>
            <w:tcW w:w="12860" w:type="dxa"/>
            <w:gridSpan w:val="2"/>
          </w:tcPr>
          <w:p w14:paraId="17A5B02E" w14:textId="23BFC7A6" w:rsidR="004163DB" w:rsidRPr="00AF6233"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Įrangos turi būti gabenama naudojant NATO šalių NŠPT pajėgumus ir sąveikos procedūras.</w:t>
            </w:r>
          </w:p>
        </w:tc>
      </w:tr>
      <w:tr w:rsidR="004163DB" w:rsidRPr="00AF6233" w14:paraId="3CD7FA75" w14:textId="77777777" w:rsidTr="004163DB">
        <w:trPr>
          <w:trHeight w:val="315"/>
        </w:trPr>
        <w:tc>
          <w:tcPr>
            <w:tcW w:w="1310" w:type="dxa"/>
          </w:tcPr>
          <w:p w14:paraId="0FE2F2EE" w14:textId="3EAC21B6" w:rsidR="004163DB"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1.9.</w:t>
            </w:r>
          </w:p>
        </w:tc>
        <w:tc>
          <w:tcPr>
            <w:tcW w:w="12860" w:type="dxa"/>
            <w:gridSpan w:val="2"/>
          </w:tcPr>
          <w:p w14:paraId="108E441E" w14:textId="34F8BD4F" w:rsidR="004163DB" w:rsidRPr="006D6711"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Pasirašius Sutartį Tiekėjas turi pateikti perkančiajai organizacijai informaciją su oficialiu įrangos gamintojo patvirtinimu apie įrangos perdavimo įrangos gamintojo šalies NŠPT faktą ir datą ne vėliau kaip per 10 darbo dienų nuo įvykdyto perdavimo.</w:t>
            </w:r>
          </w:p>
        </w:tc>
      </w:tr>
      <w:tr w:rsidR="007B0E25" w:rsidRPr="00AF6233" w14:paraId="3D6917A4" w14:textId="35A92D0F" w:rsidTr="009C701F">
        <w:trPr>
          <w:trHeight w:val="315"/>
        </w:trPr>
        <w:tc>
          <w:tcPr>
            <w:tcW w:w="1310" w:type="dxa"/>
          </w:tcPr>
          <w:p w14:paraId="396E4198" w14:textId="6D20631B" w:rsidR="007B0E25"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1.10.</w:t>
            </w:r>
          </w:p>
        </w:tc>
        <w:tc>
          <w:tcPr>
            <w:tcW w:w="6765" w:type="dxa"/>
          </w:tcPr>
          <w:p w14:paraId="55D73DC2" w14:textId="3EE7E838" w:rsidR="007B0E25" w:rsidRPr="009A6B4D" w:rsidRDefault="007B0E25" w:rsidP="007B0E25">
            <w:pPr>
              <w:tabs>
                <w:tab w:val="left" w:pos="390"/>
                <w:tab w:val="left" w:pos="1035"/>
                <w:tab w:val="left" w:pos="1500"/>
              </w:tabs>
              <w:spacing w:after="0" w:line="240" w:lineRule="auto"/>
              <w:jc w:val="both"/>
              <w:rPr>
                <w:rFonts w:ascii="Times New Roman" w:eastAsia="Calibri" w:hAnsi="Times New Roman" w:cs="Times New Roman"/>
                <w:sz w:val="24"/>
                <w:szCs w:val="24"/>
              </w:rPr>
            </w:pPr>
            <w:r w:rsidRPr="009A6B4D">
              <w:rPr>
                <w:rFonts w:ascii="Times New Roman" w:eastAsia="Calibri" w:hAnsi="Times New Roman" w:cs="Times New Roman"/>
                <w:sz w:val="24"/>
                <w:szCs w:val="24"/>
              </w:rPr>
              <w:t xml:space="preserve">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šešiavalentį chromą, o taip pat antipirenus). </w:t>
            </w:r>
          </w:p>
        </w:tc>
        <w:tc>
          <w:tcPr>
            <w:tcW w:w="6095" w:type="dxa"/>
          </w:tcPr>
          <w:p w14:paraId="363279C8" w14:textId="4C877D4C" w:rsidR="007B0E25" w:rsidRDefault="007B0E25" w:rsidP="007B0E25">
            <w:pPr>
              <w:tabs>
                <w:tab w:val="left" w:pos="757"/>
              </w:tabs>
              <w:spacing w:after="0" w:line="240" w:lineRule="auto"/>
              <w:jc w:val="both"/>
              <w:rPr>
                <w:rFonts w:ascii="Times New Roman" w:eastAsia="Calibri" w:hAnsi="Times New Roman" w:cs="Times New Roman"/>
                <w:sz w:val="24"/>
                <w:szCs w:val="24"/>
              </w:rPr>
            </w:pPr>
            <w:r w:rsidRPr="003524E4">
              <w:rPr>
                <w:rFonts w:ascii="Times New Roman" w:eastAsia="Calibri" w:hAnsi="Times New Roman" w:cs="Times New Roman"/>
                <w:bCs/>
                <w:i/>
                <w:iCs/>
                <w:color w:val="2E74B5" w:themeColor="accent1" w:themeShade="BF"/>
                <w:sz w:val="24"/>
                <w:szCs w:val="24"/>
              </w:rPr>
              <w:t>Tiekėjas turi pateikti atitiktį RoHS reikalavimams įrodančius dokumentus: gamintojo atitikties deklaracijos kopiją ar nuorodą į gamintojo puslapį arba kitus lygiaverčius dokumentus</w:t>
            </w:r>
            <w:r w:rsidRPr="003524E4">
              <w:rPr>
                <w:i/>
                <w:iCs/>
                <w:color w:val="0070C0"/>
                <w:sz w:val="18"/>
                <w:szCs w:val="18"/>
              </w:rPr>
              <w:t>.</w:t>
            </w:r>
          </w:p>
        </w:tc>
      </w:tr>
    </w:tbl>
    <w:p w14:paraId="521F0B7E" w14:textId="3F53E0DD" w:rsidR="000B3C7D" w:rsidRDefault="000B3C7D" w:rsidP="007B0E25">
      <w:pPr>
        <w:rPr>
          <w:rFonts w:ascii="Times New Roman" w:hAnsi="Times New Roman" w:cs="Times New Roman"/>
          <w:sz w:val="24"/>
          <w:szCs w:val="24"/>
        </w:rPr>
      </w:pPr>
    </w:p>
    <w:sectPr w:rsidR="000B3C7D" w:rsidSect="007740DC">
      <w:headerReference w:type="default" r:id="rId8"/>
      <w:headerReference w:type="first" r:id="rId9"/>
      <w:pgSz w:w="16838" w:h="11906" w:orient="landscape"/>
      <w:pgMar w:top="85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F9AB8" w14:textId="77777777" w:rsidR="00DB0567" w:rsidRDefault="00DB0567" w:rsidP="00872C76">
      <w:pPr>
        <w:spacing w:after="0" w:line="240" w:lineRule="auto"/>
      </w:pPr>
      <w:r>
        <w:separator/>
      </w:r>
    </w:p>
  </w:endnote>
  <w:endnote w:type="continuationSeparator" w:id="0">
    <w:p w14:paraId="48B83545" w14:textId="77777777" w:rsidR="00DB0567" w:rsidRDefault="00DB0567" w:rsidP="00872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6C61" w14:textId="77777777" w:rsidR="00DB0567" w:rsidRDefault="00DB0567" w:rsidP="00872C76">
      <w:pPr>
        <w:spacing w:after="0" w:line="240" w:lineRule="auto"/>
      </w:pPr>
      <w:r>
        <w:separator/>
      </w:r>
    </w:p>
  </w:footnote>
  <w:footnote w:type="continuationSeparator" w:id="0">
    <w:p w14:paraId="5426A8BE" w14:textId="77777777" w:rsidR="00DB0567" w:rsidRDefault="00DB0567" w:rsidP="00872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866244"/>
      <w:docPartObj>
        <w:docPartGallery w:val="Page Numbers (Top of Page)"/>
        <w:docPartUnique/>
      </w:docPartObj>
    </w:sdtPr>
    <w:sdtEndPr>
      <w:rPr>
        <w:rFonts w:ascii="Times New Roman" w:hAnsi="Times New Roman" w:cs="Times New Roman"/>
        <w:noProof/>
        <w:sz w:val="24"/>
        <w:szCs w:val="24"/>
      </w:rPr>
    </w:sdtEndPr>
    <w:sdtContent>
      <w:p w14:paraId="36276C17" w14:textId="3F3C1D37" w:rsidR="00872C76" w:rsidRPr="00872C76" w:rsidRDefault="00872C76">
        <w:pPr>
          <w:pStyle w:val="Header"/>
          <w:jc w:val="center"/>
          <w:rPr>
            <w:rFonts w:ascii="Times New Roman" w:hAnsi="Times New Roman" w:cs="Times New Roman"/>
            <w:sz w:val="24"/>
            <w:szCs w:val="24"/>
          </w:rPr>
        </w:pPr>
        <w:r w:rsidRPr="00872C76">
          <w:rPr>
            <w:rFonts w:ascii="Times New Roman" w:hAnsi="Times New Roman" w:cs="Times New Roman"/>
            <w:sz w:val="24"/>
            <w:szCs w:val="24"/>
          </w:rPr>
          <w:fldChar w:fldCharType="begin"/>
        </w:r>
        <w:r w:rsidRPr="00872C76">
          <w:rPr>
            <w:rFonts w:ascii="Times New Roman" w:hAnsi="Times New Roman" w:cs="Times New Roman"/>
            <w:sz w:val="24"/>
            <w:szCs w:val="24"/>
          </w:rPr>
          <w:instrText xml:space="preserve"> PAGE   \* MERGEFORMAT </w:instrText>
        </w:r>
        <w:r w:rsidRPr="00872C76">
          <w:rPr>
            <w:rFonts w:ascii="Times New Roman" w:hAnsi="Times New Roman" w:cs="Times New Roman"/>
            <w:sz w:val="24"/>
            <w:szCs w:val="24"/>
          </w:rPr>
          <w:fldChar w:fldCharType="separate"/>
        </w:r>
        <w:r w:rsidR="008E25AD">
          <w:rPr>
            <w:rFonts w:ascii="Times New Roman" w:hAnsi="Times New Roman" w:cs="Times New Roman"/>
            <w:noProof/>
            <w:sz w:val="24"/>
            <w:szCs w:val="24"/>
          </w:rPr>
          <w:t>2</w:t>
        </w:r>
        <w:r w:rsidRPr="00872C76">
          <w:rPr>
            <w:rFonts w:ascii="Times New Roman" w:hAnsi="Times New Roman" w:cs="Times New Roman"/>
            <w:noProof/>
            <w:sz w:val="24"/>
            <w:szCs w:val="24"/>
          </w:rPr>
          <w:fldChar w:fldCharType="end"/>
        </w:r>
      </w:p>
    </w:sdtContent>
  </w:sdt>
  <w:p w14:paraId="216A6C79" w14:textId="77777777" w:rsidR="00872C76" w:rsidRDefault="00872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5A95" w14:textId="77777777" w:rsidR="00872C76" w:rsidRPr="00872C76" w:rsidRDefault="00872C76" w:rsidP="00872C76">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A31F3"/>
    <w:multiLevelType w:val="multilevel"/>
    <w:tmpl w:val="04C2EE4E"/>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DA125A"/>
    <w:multiLevelType w:val="hybridMultilevel"/>
    <w:tmpl w:val="CD8E59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44186A"/>
    <w:multiLevelType w:val="multilevel"/>
    <w:tmpl w:val="C2F6E4C2"/>
    <w:lvl w:ilvl="0">
      <w:start w:val="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737FBE"/>
    <w:multiLevelType w:val="multilevel"/>
    <w:tmpl w:val="0427001F"/>
    <w:styleLink w:val="Specifikacija"/>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F94B87"/>
    <w:multiLevelType w:val="hybridMultilevel"/>
    <w:tmpl w:val="ACC6A276"/>
    <w:lvl w:ilvl="0" w:tplc="04270001">
      <w:start w:val="1"/>
      <w:numFmt w:val="bullet"/>
      <w:lvlText w:val=""/>
      <w:lvlJc w:val="left"/>
      <w:pPr>
        <w:ind w:left="2345" w:hanging="360"/>
      </w:pPr>
      <w:rPr>
        <w:rFonts w:ascii="Symbol" w:hAnsi="Symbol" w:hint="default"/>
      </w:rPr>
    </w:lvl>
    <w:lvl w:ilvl="1" w:tplc="04270003">
      <w:start w:val="1"/>
      <w:numFmt w:val="bullet"/>
      <w:lvlText w:val="o"/>
      <w:lvlJc w:val="left"/>
      <w:pPr>
        <w:ind w:left="3065" w:hanging="360"/>
      </w:pPr>
      <w:rPr>
        <w:rFonts w:ascii="Courier New" w:hAnsi="Courier New" w:cs="Courier New" w:hint="default"/>
      </w:rPr>
    </w:lvl>
    <w:lvl w:ilvl="2" w:tplc="04270005">
      <w:start w:val="1"/>
      <w:numFmt w:val="bullet"/>
      <w:lvlText w:val=""/>
      <w:lvlJc w:val="left"/>
      <w:pPr>
        <w:ind w:left="3785" w:hanging="360"/>
      </w:pPr>
      <w:rPr>
        <w:rFonts w:ascii="Wingdings" w:hAnsi="Wingdings" w:hint="default"/>
      </w:rPr>
    </w:lvl>
    <w:lvl w:ilvl="3" w:tplc="04270001">
      <w:start w:val="1"/>
      <w:numFmt w:val="bullet"/>
      <w:lvlText w:val=""/>
      <w:lvlJc w:val="left"/>
      <w:pPr>
        <w:ind w:left="4505" w:hanging="360"/>
      </w:pPr>
      <w:rPr>
        <w:rFonts w:ascii="Symbol" w:hAnsi="Symbol" w:hint="default"/>
      </w:rPr>
    </w:lvl>
    <w:lvl w:ilvl="4" w:tplc="04270003">
      <w:start w:val="1"/>
      <w:numFmt w:val="bullet"/>
      <w:lvlText w:val="o"/>
      <w:lvlJc w:val="left"/>
      <w:pPr>
        <w:ind w:left="5225" w:hanging="360"/>
      </w:pPr>
      <w:rPr>
        <w:rFonts w:ascii="Courier New" w:hAnsi="Courier New" w:cs="Courier New" w:hint="default"/>
      </w:rPr>
    </w:lvl>
    <w:lvl w:ilvl="5" w:tplc="04270005">
      <w:start w:val="1"/>
      <w:numFmt w:val="bullet"/>
      <w:lvlText w:val=""/>
      <w:lvlJc w:val="left"/>
      <w:pPr>
        <w:ind w:left="5945" w:hanging="360"/>
      </w:pPr>
      <w:rPr>
        <w:rFonts w:ascii="Wingdings" w:hAnsi="Wingdings" w:hint="default"/>
      </w:rPr>
    </w:lvl>
    <w:lvl w:ilvl="6" w:tplc="04270001">
      <w:start w:val="1"/>
      <w:numFmt w:val="bullet"/>
      <w:lvlText w:val=""/>
      <w:lvlJc w:val="left"/>
      <w:pPr>
        <w:ind w:left="6665" w:hanging="360"/>
      </w:pPr>
      <w:rPr>
        <w:rFonts w:ascii="Symbol" w:hAnsi="Symbol" w:hint="default"/>
      </w:rPr>
    </w:lvl>
    <w:lvl w:ilvl="7" w:tplc="04270003">
      <w:start w:val="1"/>
      <w:numFmt w:val="bullet"/>
      <w:lvlText w:val="o"/>
      <w:lvlJc w:val="left"/>
      <w:pPr>
        <w:ind w:left="7385" w:hanging="360"/>
      </w:pPr>
      <w:rPr>
        <w:rFonts w:ascii="Courier New" w:hAnsi="Courier New" w:cs="Courier New" w:hint="default"/>
      </w:rPr>
    </w:lvl>
    <w:lvl w:ilvl="8" w:tplc="04270005">
      <w:start w:val="1"/>
      <w:numFmt w:val="bullet"/>
      <w:lvlText w:val=""/>
      <w:lvlJc w:val="left"/>
      <w:pPr>
        <w:ind w:left="8105" w:hanging="360"/>
      </w:pPr>
      <w:rPr>
        <w:rFonts w:ascii="Wingdings" w:hAnsi="Wingdings" w:hint="default"/>
      </w:rPr>
    </w:lvl>
  </w:abstractNum>
  <w:abstractNum w:abstractNumId="6" w15:restartNumberingAfterBreak="0">
    <w:nsid w:val="32064B9A"/>
    <w:multiLevelType w:val="multilevel"/>
    <w:tmpl w:val="0427001F"/>
    <w:numStyleLink w:val="Specifikacija"/>
  </w:abstractNum>
  <w:abstractNum w:abstractNumId="7" w15:restartNumberingAfterBreak="0">
    <w:nsid w:val="58D237EE"/>
    <w:multiLevelType w:val="multilevel"/>
    <w:tmpl w:val="0427001F"/>
    <w:numStyleLink w:val="Specifikacija"/>
  </w:abstractNum>
  <w:abstractNum w:abstractNumId="8"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7441B7"/>
    <w:multiLevelType w:val="hybridMultilevel"/>
    <w:tmpl w:val="E684EEF6"/>
    <w:lvl w:ilvl="0" w:tplc="48A6791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292">
    <w:abstractNumId w:val="5"/>
  </w:num>
  <w:num w:numId="2" w16cid:durableId="43525890">
    <w:abstractNumId w:val="2"/>
  </w:num>
  <w:num w:numId="3" w16cid:durableId="947201139">
    <w:abstractNumId w:val="3"/>
  </w:num>
  <w:num w:numId="4" w16cid:durableId="1406610823">
    <w:abstractNumId w:val="4"/>
  </w:num>
  <w:num w:numId="5" w16cid:durableId="30345755">
    <w:abstractNumId w:val="6"/>
  </w:num>
  <w:num w:numId="6" w16cid:durableId="2040425795">
    <w:abstractNumId w:val="7"/>
  </w:num>
  <w:num w:numId="7" w16cid:durableId="1325813315">
    <w:abstractNumId w:val="1"/>
  </w:num>
  <w:num w:numId="8" w16cid:durableId="1109665528">
    <w:abstractNumId w:val="9"/>
  </w:num>
  <w:num w:numId="9" w16cid:durableId="2056275781">
    <w:abstractNumId w:val="0"/>
  </w:num>
  <w:num w:numId="10" w16cid:durableId="1793744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514"/>
    <w:rsid w:val="000142E5"/>
    <w:rsid w:val="00020F68"/>
    <w:rsid w:val="00022EE2"/>
    <w:rsid w:val="0002354D"/>
    <w:rsid w:val="000642E0"/>
    <w:rsid w:val="0007364B"/>
    <w:rsid w:val="00097583"/>
    <w:rsid w:val="000A3B20"/>
    <w:rsid w:val="000A5B69"/>
    <w:rsid w:val="000B3C7D"/>
    <w:rsid w:val="000B5F6C"/>
    <w:rsid w:val="000D2240"/>
    <w:rsid w:val="000D4EFE"/>
    <w:rsid w:val="000F0D98"/>
    <w:rsid w:val="000F1576"/>
    <w:rsid w:val="00100553"/>
    <w:rsid w:val="00101B4B"/>
    <w:rsid w:val="0010325B"/>
    <w:rsid w:val="00104211"/>
    <w:rsid w:val="00110F30"/>
    <w:rsid w:val="001128E0"/>
    <w:rsid w:val="0013381C"/>
    <w:rsid w:val="00143FFA"/>
    <w:rsid w:val="00150AB6"/>
    <w:rsid w:val="00172EB0"/>
    <w:rsid w:val="00187E0C"/>
    <w:rsid w:val="001E3349"/>
    <w:rsid w:val="001E4A45"/>
    <w:rsid w:val="001E4A8E"/>
    <w:rsid w:val="001F524E"/>
    <w:rsid w:val="001F6D4C"/>
    <w:rsid w:val="00211C2A"/>
    <w:rsid w:val="00234251"/>
    <w:rsid w:val="0023720F"/>
    <w:rsid w:val="0024256A"/>
    <w:rsid w:val="00246345"/>
    <w:rsid w:val="00266AEF"/>
    <w:rsid w:val="00276812"/>
    <w:rsid w:val="002943B6"/>
    <w:rsid w:val="00296746"/>
    <w:rsid w:val="00296F71"/>
    <w:rsid w:val="002B1D02"/>
    <w:rsid w:val="002C5462"/>
    <w:rsid w:val="002C55B7"/>
    <w:rsid w:val="002E09C8"/>
    <w:rsid w:val="002E1D77"/>
    <w:rsid w:val="002E2B93"/>
    <w:rsid w:val="002F10B3"/>
    <w:rsid w:val="002F3C9A"/>
    <w:rsid w:val="002F6D44"/>
    <w:rsid w:val="003132CB"/>
    <w:rsid w:val="0033078B"/>
    <w:rsid w:val="003326AD"/>
    <w:rsid w:val="00341B95"/>
    <w:rsid w:val="003524E4"/>
    <w:rsid w:val="0036528D"/>
    <w:rsid w:val="00375EDD"/>
    <w:rsid w:val="0037600D"/>
    <w:rsid w:val="003772E1"/>
    <w:rsid w:val="00384C53"/>
    <w:rsid w:val="00395727"/>
    <w:rsid w:val="0039576F"/>
    <w:rsid w:val="003A1402"/>
    <w:rsid w:val="003B1A72"/>
    <w:rsid w:val="003B585C"/>
    <w:rsid w:val="003D2FDE"/>
    <w:rsid w:val="003E39BF"/>
    <w:rsid w:val="004040F6"/>
    <w:rsid w:val="00412858"/>
    <w:rsid w:val="004163DB"/>
    <w:rsid w:val="00424697"/>
    <w:rsid w:val="004308AE"/>
    <w:rsid w:val="004316E5"/>
    <w:rsid w:val="00445D59"/>
    <w:rsid w:val="00462926"/>
    <w:rsid w:val="00473B83"/>
    <w:rsid w:val="004800D5"/>
    <w:rsid w:val="0048602C"/>
    <w:rsid w:val="004913E1"/>
    <w:rsid w:val="00491764"/>
    <w:rsid w:val="004946CC"/>
    <w:rsid w:val="004C443E"/>
    <w:rsid w:val="004C7015"/>
    <w:rsid w:val="004E0EA1"/>
    <w:rsid w:val="004F7759"/>
    <w:rsid w:val="0053159B"/>
    <w:rsid w:val="00540DA6"/>
    <w:rsid w:val="00542415"/>
    <w:rsid w:val="00542DE5"/>
    <w:rsid w:val="00550208"/>
    <w:rsid w:val="00552D7C"/>
    <w:rsid w:val="00556861"/>
    <w:rsid w:val="00560219"/>
    <w:rsid w:val="005703E2"/>
    <w:rsid w:val="00577538"/>
    <w:rsid w:val="005854A5"/>
    <w:rsid w:val="005B1FD0"/>
    <w:rsid w:val="005D2C29"/>
    <w:rsid w:val="005E2ED6"/>
    <w:rsid w:val="005E6572"/>
    <w:rsid w:val="00600D92"/>
    <w:rsid w:val="00601EF6"/>
    <w:rsid w:val="00610C90"/>
    <w:rsid w:val="00617945"/>
    <w:rsid w:val="00620DA0"/>
    <w:rsid w:val="0063417F"/>
    <w:rsid w:val="00635B93"/>
    <w:rsid w:val="00642995"/>
    <w:rsid w:val="00652E1B"/>
    <w:rsid w:val="006617FF"/>
    <w:rsid w:val="006712D7"/>
    <w:rsid w:val="006821C9"/>
    <w:rsid w:val="00692254"/>
    <w:rsid w:val="0069749D"/>
    <w:rsid w:val="006A379B"/>
    <w:rsid w:val="006A43DF"/>
    <w:rsid w:val="006B287A"/>
    <w:rsid w:val="006B2FEF"/>
    <w:rsid w:val="006B685E"/>
    <w:rsid w:val="006C31C0"/>
    <w:rsid w:val="006C58B5"/>
    <w:rsid w:val="006D6711"/>
    <w:rsid w:val="006E2BDC"/>
    <w:rsid w:val="006E7E84"/>
    <w:rsid w:val="006F253A"/>
    <w:rsid w:val="00707FD7"/>
    <w:rsid w:val="00711A36"/>
    <w:rsid w:val="0072668E"/>
    <w:rsid w:val="007362C8"/>
    <w:rsid w:val="00737128"/>
    <w:rsid w:val="0074045B"/>
    <w:rsid w:val="00766B31"/>
    <w:rsid w:val="007675C1"/>
    <w:rsid w:val="00767E64"/>
    <w:rsid w:val="0077142A"/>
    <w:rsid w:val="007724CB"/>
    <w:rsid w:val="007740DC"/>
    <w:rsid w:val="00781CB5"/>
    <w:rsid w:val="00790002"/>
    <w:rsid w:val="007965CD"/>
    <w:rsid w:val="007A1CAB"/>
    <w:rsid w:val="007A5FF7"/>
    <w:rsid w:val="007A7A3F"/>
    <w:rsid w:val="007B0E25"/>
    <w:rsid w:val="007C1A01"/>
    <w:rsid w:val="007C6590"/>
    <w:rsid w:val="007C695E"/>
    <w:rsid w:val="007C7470"/>
    <w:rsid w:val="007C7BBA"/>
    <w:rsid w:val="007D2EE6"/>
    <w:rsid w:val="007D5B61"/>
    <w:rsid w:val="007D7C44"/>
    <w:rsid w:val="007E0D3E"/>
    <w:rsid w:val="007F399B"/>
    <w:rsid w:val="0080146F"/>
    <w:rsid w:val="00803D33"/>
    <w:rsid w:val="00804E55"/>
    <w:rsid w:val="008239DB"/>
    <w:rsid w:val="00824470"/>
    <w:rsid w:val="00850E4A"/>
    <w:rsid w:val="00851A3E"/>
    <w:rsid w:val="008563F4"/>
    <w:rsid w:val="00872C76"/>
    <w:rsid w:val="0088192F"/>
    <w:rsid w:val="00891514"/>
    <w:rsid w:val="00891FA0"/>
    <w:rsid w:val="00894022"/>
    <w:rsid w:val="008C5ED5"/>
    <w:rsid w:val="008D62A0"/>
    <w:rsid w:val="008D6F92"/>
    <w:rsid w:val="008E1D6C"/>
    <w:rsid w:val="008E25AD"/>
    <w:rsid w:val="008E2C10"/>
    <w:rsid w:val="008F38FA"/>
    <w:rsid w:val="00902E09"/>
    <w:rsid w:val="00914634"/>
    <w:rsid w:val="0092443B"/>
    <w:rsid w:val="00931110"/>
    <w:rsid w:val="009314AC"/>
    <w:rsid w:val="009336B2"/>
    <w:rsid w:val="0095589A"/>
    <w:rsid w:val="00975D60"/>
    <w:rsid w:val="00982ACF"/>
    <w:rsid w:val="00986F6E"/>
    <w:rsid w:val="009913AC"/>
    <w:rsid w:val="009953E7"/>
    <w:rsid w:val="009A086B"/>
    <w:rsid w:val="009A4B2E"/>
    <w:rsid w:val="009A6B4D"/>
    <w:rsid w:val="009A7DCC"/>
    <w:rsid w:val="009B31E2"/>
    <w:rsid w:val="009B596B"/>
    <w:rsid w:val="009C3C73"/>
    <w:rsid w:val="009C701F"/>
    <w:rsid w:val="009D76A7"/>
    <w:rsid w:val="009E49A6"/>
    <w:rsid w:val="00A0582E"/>
    <w:rsid w:val="00A141AD"/>
    <w:rsid w:val="00A35F85"/>
    <w:rsid w:val="00A36030"/>
    <w:rsid w:val="00A36A5D"/>
    <w:rsid w:val="00A55AB5"/>
    <w:rsid w:val="00A62F15"/>
    <w:rsid w:val="00A6655D"/>
    <w:rsid w:val="00A90771"/>
    <w:rsid w:val="00A96C57"/>
    <w:rsid w:val="00AC0795"/>
    <w:rsid w:val="00AC4872"/>
    <w:rsid w:val="00AC772A"/>
    <w:rsid w:val="00AD6E0B"/>
    <w:rsid w:val="00AE044C"/>
    <w:rsid w:val="00AF1B1F"/>
    <w:rsid w:val="00AF3EB3"/>
    <w:rsid w:val="00AF6233"/>
    <w:rsid w:val="00B05F6D"/>
    <w:rsid w:val="00B239AD"/>
    <w:rsid w:val="00B26A94"/>
    <w:rsid w:val="00B32BF1"/>
    <w:rsid w:val="00B4339E"/>
    <w:rsid w:val="00B5130A"/>
    <w:rsid w:val="00B65A16"/>
    <w:rsid w:val="00B73A3E"/>
    <w:rsid w:val="00B827F6"/>
    <w:rsid w:val="00B864CA"/>
    <w:rsid w:val="00B917B9"/>
    <w:rsid w:val="00BA7140"/>
    <w:rsid w:val="00BB5F37"/>
    <w:rsid w:val="00BE109F"/>
    <w:rsid w:val="00C25635"/>
    <w:rsid w:val="00C26446"/>
    <w:rsid w:val="00C5607D"/>
    <w:rsid w:val="00C60BF4"/>
    <w:rsid w:val="00C62A00"/>
    <w:rsid w:val="00C62B41"/>
    <w:rsid w:val="00C9203F"/>
    <w:rsid w:val="00C96D8C"/>
    <w:rsid w:val="00CC0B2E"/>
    <w:rsid w:val="00CC189B"/>
    <w:rsid w:val="00CC2E8D"/>
    <w:rsid w:val="00CE3100"/>
    <w:rsid w:val="00CE4E8B"/>
    <w:rsid w:val="00D3639A"/>
    <w:rsid w:val="00D438CE"/>
    <w:rsid w:val="00D46DCE"/>
    <w:rsid w:val="00D47664"/>
    <w:rsid w:val="00D55EB4"/>
    <w:rsid w:val="00D71FC3"/>
    <w:rsid w:val="00D74E27"/>
    <w:rsid w:val="00D87426"/>
    <w:rsid w:val="00D9641F"/>
    <w:rsid w:val="00DA3C52"/>
    <w:rsid w:val="00DA4629"/>
    <w:rsid w:val="00DB0567"/>
    <w:rsid w:val="00DB3F7C"/>
    <w:rsid w:val="00DC3972"/>
    <w:rsid w:val="00DC7F36"/>
    <w:rsid w:val="00DD0C7C"/>
    <w:rsid w:val="00DD6643"/>
    <w:rsid w:val="00DE0BE2"/>
    <w:rsid w:val="00DE2FAA"/>
    <w:rsid w:val="00DE7852"/>
    <w:rsid w:val="00E15146"/>
    <w:rsid w:val="00E179B6"/>
    <w:rsid w:val="00E26FBA"/>
    <w:rsid w:val="00E345E5"/>
    <w:rsid w:val="00E45303"/>
    <w:rsid w:val="00E56CDC"/>
    <w:rsid w:val="00E57042"/>
    <w:rsid w:val="00E63DD1"/>
    <w:rsid w:val="00E73FBE"/>
    <w:rsid w:val="00E81FD9"/>
    <w:rsid w:val="00E84059"/>
    <w:rsid w:val="00E85CC9"/>
    <w:rsid w:val="00E952C2"/>
    <w:rsid w:val="00E95500"/>
    <w:rsid w:val="00EA7992"/>
    <w:rsid w:val="00EE454C"/>
    <w:rsid w:val="00F003AD"/>
    <w:rsid w:val="00F0792D"/>
    <w:rsid w:val="00F3794C"/>
    <w:rsid w:val="00F452A8"/>
    <w:rsid w:val="00F531F4"/>
    <w:rsid w:val="00F6444A"/>
    <w:rsid w:val="00F64705"/>
    <w:rsid w:val="00F737A8"/>
    <w:rsid w:val="00F74AA6"/>
    <w:rsid w:val="00FA4DD4"/>
    <w:rsid w:val="00FC6D88"/>
    <w:rsid w:val="00FF5E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08887"/>
  <w15:chartTrackingRefBased/>
  <w15:docId w15:val="{6836CEFE-C8AD-451A-AE60-675A91D9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51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uiPriority w:val="34"/>
    <w:qFormat/>
    <w:rsid w:val="00891514"/>
    <w:pPr>
      <w:ind w:left="720"/>
      <w:contextualSpacing/>
    </w:pPr>
  </w:style>
  <w:style w:type="paragraph" w:styleId="BalloonText">
    <w:name w:val="Balloon Text"/>
    <w:basedOn w:val="Normal"/>
    <w:link w:val="BalloonTextChar"/>
    <w:uiPriority w:val="99"/>
    <w:semiHidden/>
    <w:unhideWhenUsed/>
    <w:rsid w:val="00242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56A"/>
    <w:rPr>
      <w:rFonts w:ascii="Segoe UI" w:hAnsi="Segoe UI" w:cs="Segoe UI"/>
      <w:sz w:val="18"/>
      <w:szCs w:val="18"/>
    </w:rPr>
  </w:style>
  <w:style w:type="numbering" w:customStyle="1" w:styleId="Specifikacija">
    <w:name w:val="Specifikacija"/>
    <w:uiPriority w:val="99"/>
    <w:rsid w:val="00824470"/>
    <w:pPr>
      <w:numPr>
        <w:numId w:val="4"/>
      </w:numPr>
    </w:pPr>
  </w:style>
  <w:style w:type="paragraph" w:styleId="Header">
    <w:name w:val="header"/>
    <w:basedOn w:val="Normal"/>
    <w:link w:val="HeaderChar"/>
    <w:uiPriority w:val="99"/>
    <w:unhideWhenUsed/>
    <w:rsid w:val="00872C76"/>
    <w:pPr>
      <w:tabs>
        <w:tab w:val="center" w:pos="4986"/>
        <w:tab w:val="right" w:pos="9972"/>
      </w:tabs>
      <w:spacing w:after="0" w:line="240" w:lineRule="auto"/>
    </w:pPr>
  </w:style>
  <w:style w:type="character" w:customStyle="1" w:styleId="HeaderChar">
    <w:name w:val="Header Char"/>
    <w:basedOn w:val="DefaultParagraphFont"/>
    <w:link w:val="Header"/>
    <w:uiPriority w:val="99"/>
    <w:rsid w:val="00872C76"/>
  </w:style>
  <w:style w:type="paragraph" w:styleId="Footer">
    <w:name w:val="footer"/>
    <w:basedOn w:val="Normal"/>
    <w:link w:val="FooterChar"/>
    <w:uiPriority w:val="99"/>
    <w:unhideWhenUsed/>
    <w:rsid w:val="00872C76"/>
    <w:pPr>
      <w:tabs>
        <w:tab w:val="center" w:pos="4986"/>
        <w:tab w:val="right" w:pos="9972"/>
      </w:tabs>
      <w:spacing w:after="0" w:line="240" w:lineRule="auto"/>
    </w:pPr>
  </w:style>
  <w:style w:type="character" w:customStyle="1" w:styleId="FooterChar">
    <w:name w:val="Footer Char"/>
    <w:basedOn w:val="DefaultParagraphFont"/>
    <w:link w:val="Footer"/>
    <w:uiPriority w:val="99"/>
    <w:rsid w:val="00872C76"/>
  </w:style>
  <w:style w:type="character" w:styleId="CommentReference">
    <w:name w:val="annotation reference"/>
    <w:basedOn w:val="DefaultParagraphFont"/>
    <w:unhideWhenUsed/>
    <w:rsid w:val="009A4B2E"/>
    <w:rPr>
      <w:sz w:val="16"/>
      <w:szCs w:val="16"/>
    </w:rPr>
  </w:style>
  <w:style w:type="paragraph" w:styleId="CommentText">
    <w:name w:val="annotation text"/>
    <w:basedOn w:val="Normal"/>
    <w:link w:val="CommentTextChar"/>
    <w:uiPriority w:val="99"/>
    <w:unhideWhenUsed/>
    <w:rsid w:val="009A4B2E"/>
    <w:pPr>
      <w:spacing w:line="240" w:lineRule="auto"/>
    </w:pPr>
    <w:rPr>
      <w:sz w:val="20"/>
      <w:szCs w:val="20"/>
    </w:rPr>
  </w:style>
  <w:style w:type="character" w:customStyle="1" w:styleId="CommentTextChar">
    <w:name w:val="Comment Text Char"/>
    <w:basedOn w:val="DefaultParagraphFont"/>
    <w:link w:val="CommentText"/>
    <w:uiPriority w:val="99"/>
    <w:rsid w:val="009A4B2E"/>
    <w:rPr>
      <w:sz w:val="20"/>
      <w:szCs w:val="20"/>
    </w:rPr>
  </w:style>
  <w:style w:type="paragraph" w:styleId="CommentSubject">
    <w:name w:val="annotation subject"/>
    <w:basedOn w:val="CommentText"/>
    <w:next w:val="CommentText"/>
    <w:link w:val="CommentSubjectChar"/>
    <w:uiPriority w:val="99"/>
    <w:semiHidden/>
    <w:unhideWhenUsed/>
    <w:rsid w:val="009A4B2E"/>
    <w:rPr>
      <w:b/>
      <w:bCs/>
    </w:rPr>
  </w:style>
  <w:style w:type="character" w:customStyle="1" w:styleId="CommentSubjectChar">
    <w:name w:val="Comment Subject Char"/>
    <w:basedOn w:val="CommentTextChar"/>
    <w:link w:val="CommentSubject"/>
    <w:uiPriority w:val="99"/>
    <w:semiHidden/>
    <w:rsid w:val="009A4B2E"/>
    <w:rPr>
      <w:b/>
      <w:bCs/>
      <w:sz w:val="20"/>
      <w:szCs w:val="20"/>
    </w:rPr>
  </w:style>
  <w:style w:type="paragraph" w:styleId="Revision">
    <w:name w:val="Revision"/>
    <w:hidden/>
    <w:uiPriority w:val="99"/>
    <w:semiHidden/>
    <w:rsid w:val="00E57042"/>
    <w:pPr>
      <w:spacing w:after="0" w:line="240" w:lineRule="auto"/>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E85CC9"/>
  </w:style>
  <w:style w:type="table" w:styleId="TableGrid">
    <w:name w:val="Table Grid"/>
    <w:basedOn w:val="TableNormal"/>
    <w:uiPriority w:val="39"/>
    <w:rsid w:val="00774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60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809">
      <w:bodyDiv w:val="1"/>
      <w:marLeft w:val="0"/>
      <w:marRight w:val="0"/>
      <w:marTop w:val="0"/>
      <w:marBottom w:val="0"/>
      <w:divBdr>
        <w:top w:val="none" w:sz="0" w:space="0" w:color="auto"/>
        <w:left w:val="none" w:sz="0" w:space="0" w:color="auto"/>
        <w:bottom w:val="none" w:sz="0" w:space="0" w:color="auto"/>
        <w:right w:val="none" w:sz="0" w:space="0" w:color="auto"/>
      </w:divBdr>
    </w:div>
    <w:div w:id="674496728">
      <w:bodyDiv w:val="1"/>
      <w:marLeft w:val="0"/>
      <w:marRight w:val="0"/>
      <w:marTop w:val="0"/>
      <w:marBottom w:val="0"/>
      <w:divBdr>
        <w:top w:val="none" w:sz="0" w:space="0" w:color="auto"/>
        <w:left w:val="none" w:sz="0" w:space="0" w:color="auto"/>
        <w:bottom w:val="none" w:sz="0" w:space="0" w:color="auto"/>
        <w:right w:val="none" w:sz="0" w:space="0" w:color="auto"/>
      </w:divBdr>
    </w:div>
    <w:div w:id="1276521534">
      <w:bodyDiv w:val="1"/>
      <w:marLeft w:val="0"/>
      <w:marRight w:val="0"/>
      <w:marTop w:val="0"/>
      <w:marBottom w:val="0"/>
      <w:divBdr>
        <w:top w:val="none" w:sz="0" w:space="0" w:color="auto"/>
        <w:left w:val="none" w:sz="0" w:space="0" w:color="auto"/>
        <w:bottom w:val="none" w:sz="0" w:space="0" w:color="auto"/>
        <w:right w:val="none" w:sz="0" w:space="0" w:color="auto"/>
      </w:divBdr>
    </w:div>
    <w:div w:id="186078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6EBF-1EA9-49B6-AEB4-808E75C7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Gytis Gaucius</dc:creator>
  <cp:lastModifiedBy>Milda Viteikienė</cp:lastModifiedBy>
  <cp:revision>5</cp:revision>
  <cp:lastPrinted>2020-01-22T07:43:00Z</cp:lastPrinted>
  <dcterms:created xsi:type="dcterms:W3CDTF">2026-06-30T08:29:00Z</dcterms:created>
  <dcterms:modified xsi:type="dcterms:W3CDTF">2026-07-22T13:54:00Z</dcterms:modified>
</cp:coreProperties>
</file>